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4D03" w14:textId="7D3CAF1D" w:rsidR="003E243D" w:rsidRPr="0052496F" w:rsidRDefault="0052496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6D6F2" wp14:editId="02EDDB29">
                <wp:simplePos x="0" y="0"/>
                <wp:positionH relativeFrom="column">
                  <wp:posOffset>4339186</wp:posOffset>
                </wp:positionH>
                <wp:positionV relativeFrom="paragraph">
                  <wp:posOffset>-326101</wp:posOffset>
                </wp:positionV>
                <wp:extent cx="1701338" cy="720436"/>
                <wp:effectExtent l="0" t="0" r="13335" b="2286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338" cy="720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06266" w14:textId="77777777" w:rsidR="0052496F" w:rsidRPr="0052496F" w:rsidRDefault="0052496F" w:rsidP="0052496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249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Der skal ikke indberettes til kvartaler – I skal se bort fra eventuelle påmindelses- og rykkerbreve.</w:t>
                            </w:r>
                          </w:p>
                          <w:p w14:paraId="7718A427" w14:textId="77777777" w:rsidR="0052496F" w:rsidRPr="0052496F" w:rsidRDefault="005249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6D6F2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341.65pt;margin-top:-25.7pt;width:133.9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H1NwIAAHw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" fillcolor="white [3201]" strokeweight=".5pt">
                <v:textbox>
                  <w:txbxContent>
                    <w:p w14:paraId="21706266" w14:textId="77777777" w:rsidR="0052496F" w:rsidRPr="0052496F" w:rsidRDefault="0052496F" w:rsidP="0052496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2496F">
                        <w:rPr>
                          <w:b/>
                          <w:bCs/>
                          <w:sz w:val="20"/>
                          <w:szCs w:val="20"/>
                        </w:rPr>
                        <w:t>Der skal ikke indberettes til kvartaler – I skal se bort fra eventuelle påmindelses- og rykkerbreve.</w:t>
                      </w:r>
                    </w:p>
                    <w:p w14:paraId="7718A427" w14:textId="77777777" w:rsidR="0052496F" w:rsidRPr="0052496F" w:rsidRDefault="0052496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9A8" w:rsidRPr="0052496F">
        <w:rPr>
          <w:b/>
          <w:bCs/>
          <w:sz w:val="32"/>
          <w:szCs w:val="32"/>
        </w:rPr>
        <w:t xml:space="preserve">PIXI VEJLEDNING </w:t>
      </w:r>
    </w:p>
    <w:p w14:paraId="49CDECDD" w14:textId="574B59CC" w:rsidR="007369A8" w:rsidRDefault="007369A8">
      <w:r w:rsidRPr="0052496F">
        <w:t>Indberetning af indefrysningslån til årsindberetning 2023 + 2024</w:t>
      </w:r>
    </w:p>
    <w:p w14:paraId="00C0D3D6" w14:textId="77777777" w:rsidR="0052496F" w:rsidRPr="0052496F" w:rsidRDefault="0052496F"/>
    <w:p w14:paraId="64F4D6A7" w14:textId="5496CEAF" w:rsidR="00494F85" w:rsidRPr="0052496F" w:rsidRDefault="000D0AB5">
      <w:r w:rsidRPr="0052496F">
        <w:t xml:space="preserve">Vejledningen supplerer den generelle </w:t>
      </w:r>
      <w:hyperlink r:id="rId4" w:history="1">
        <w:r w:rsidRPr="0052496F">
          <w:rPr>
            <w:rStyle w:val="Hyperlink"/>
          </w:rPr>
          <w:t xml:space="preserve">indberetningsvejledning om Udlån </w:t>
        </w:r>
        <w:proofErr w:type="spellStart"/>
        <w:r w:rsidRPr="0052496F">
          <w:rPr>
            <w:rStyle w:val="Hyperlink"/>
          </w:rPr>
          <w:t>årsultimo</w:t>
        </w:r>
        <w:proofErr w:type="spellEnd"/>
        <w:r w:rsidRPr="0052496F">
          <w:rPr>
            <w:rStyle w:val="Hyperlink"/>
          </w:rPr>
          <w:t xml:space="preserve"> 2023</w:t>
        </w:r>
      </w:hyperlink>
      <w:r w:rsidR="00494F85" w:rsidRPr="0052496F">
        <w:t>. I kan finde vejledninger</w:t>
      </w:r>
      <w:r w:rsidRPr="0052496F">
        <w:t xml:space="preserve"> på </w:t>
      </w:r>
      <w:hyperlink r:id="rId5" w:history="1">
        <w:r w:rsidRPr="0052496F">
          <w:rPr>
            <w:rStyle w:val="Hyperlink"/>
          </w:rPr>
          <w:t>skat.dk/rente</w:t>
        </w:r>
      </w:hyperlink>
    </w:p>
    <w:p w14:paraId="48A74407" w14:textId="77777777" w:rsidR="00494F85" w:rsidRPr="0052496F" w:rsidRDefault="00494F85"/>
    <w:p w14:paraId="622F9A39" w14:textId="6ACDB333" w:rsidR="000D0AB5" w:rsidRPr="0052496F" w:rsidRDefault="00DD236D">
      <w:r w:rsidRPr="0052496F">
        <w:t>I</w:t>
      </w:r>
      <w:r w:rsidR="00494F85" w:rsidRPr="0052496F">
        <w:t>ndefrysningslån skal indberettes til Skattestyrelsen senest den 20. januar</w:t>
      </w:r>
      <w:r w:rsidRPr="0052496F">
        <w:t xml:space="preserve"> i året efter indkomstårets udløb. Indberetninger der fejler, skal genindberettes inden 14 dage.</w:t>
      </w:r>
      <w:r w:rsidR="000D0AB5" w:rsidRPr="0052496F">
        <w:t xml:space="preserve"> </w:t>
      </w:r>
    </w:p>
    <w:p w14:paraId="70608F41" w14:textId="1BF385B6" w:rsidR="00E57272" w:rsidRPr="0052496F" w:rsidRDefault="00E57272">
      <w:r w:rsidRPr="0052496F">
        <w:t xml:space="preserve">I skal være registreret for udlånspligten, inden I kan indberette. Se hvordan I tilmelder pligten i </w:t>
      </w:r>
      <w:hyperlink r:id="rId6" w:history="1">
        <w:r w:rsidRPr="0052496F">
          <w:rPr>
            <w:rStyle w:val="Hyperlink"/>
          </w:rPr>
          <w:t>afsnit 1.3.1</w:t>
        </w:r>
      </w:hyperlink>
    </w:p>
    <w:p w14:paraId="608EB98A" w14:textId="5E70BF98" w:rsidR="007369A8" w:rsidRPr="0052496F" w:rsidRDefault="007369A8"/>
    <w:p w14:paraId="356B888A" w14:textId="77777777" w:rsidR="007A29AE" w:rsidRPr="0052496F" w:rsidRDefault="007369A8">
      <w:r w:rsidRPr="0052496F">
        <w:rPr>
          <w:b/>
          <w:bCs/>
        </w:rPr>
        <w:t>Situation 1</w:t>
      </w:r>
      <w:r w:rsidRPr="0052496F">
        <w:t>: Lån afkøbes senest 31. december 2023</w:t>
      </w:r>
      <w:r w:rsidR="007A29AE" w:rsidRPr="0052496F">
        <w:t xml:space="preserve">. </w:t>
      </w:r>
    </w:p>
    <w:p w14:paraId="2673099B" w14:textId="02291456" w:rsidR="007369A8" w:rsidRPr="0052496F" w:rsidRDefault="007A29AE">
      <w:r w:rsidRPr="0052496F">
        <w:t xml:space="preserve">Eksempel: </w:t>
      </w:r>
      <w:r w:rsidR="00DD236D" w:rsidRPr="0052496F">
        <w:t>K</w:t>
      </w:r>
      <w:r w:rsidRPr="0052496F">
        <w:t>onkurs</w:t>
      </w:r>
      <w:r w:rsidR="00DD236D" w:rsidRPr="0052496F">
        <w:t xml:space="preserve"> og </w:t>
      </w:r>
      <w:r w:rsidRPr="0052496F">
        <w:t xml:space="preserve">dødsbo, som løbende er overdraget til Erhvervsstyrelsen </w:t>
      </w:r>
      <w:r w:rsidR="00EA066C" w:rsidRPr="0052496F">
        <w:t>i 2023</w:t>
      </w:r>
      <w:r w:rsidR="00DD236D" w:rsidRPr="0052496F">
        <w:t xml:space="preserve"> samt indfrielser af indefrysningslån i 2023.</w:t>
      </w:r>
    </w:p>
    <w:p w14:paraId="7CFDE3EE" w14:textId="77777777" w:rsidR="00DD236D" w:rsidRPr="0052496F" w:rsidRDefault="00DD236D"/>
    <w:p w14:paraId="3BE144E8" w14:textId="77777777" w:rsidR="007A29AE" w:rsidRPr="0052496F" w:rsidRDefault="007369A8">
      <w:r w:rsidRPr="0052496F">
        <w:rPr>
          <w:b/>
          <w:bCs/>
        </w:rPr>
        <w:t>Situation 2</w:t>
      </w:r>
      <w:r w:rsidRPr="0052496F">
        <w:t>: Lån afkøbes i 2024</w:t>
      </w:r>
      <w:r w:rsidR="007A29AE" w:rsidRPr="0052496F">
        <w:t xml:space="preserve">. </w:t>
      </w:r>
    </w:p>
    <w:p w14:paraId="1549E1EA" w14:textId="5838E532" w:rsidR="007369A8" w:rsidRPr="0052496F" w:rsidRDefault="007A29AE">
      <w:r w:rsidRPr="0052496F">
        <w:t xml:space="preserve">Eksempel: Ansøgninger om overdragelse af fordringer, hvor Erhvervsstyrelsen træffer afgørelse om overdragelse i 2024. </w:t>
      </w:r>
    </w:p>
    <w:p w14:paraId="1F1FA32C" w14:textId="1BC39A71" w:rsidR="007369A8" w:rsidRPr="0052496F" w:rsidRDefault="007369A8"/>
    <w:p w14:paraId="3A089128" w14:textId="1A915F97" w:rsidR="007369A8" w:rsidRDefault="007369A8">
      <w:r w:rsidRPr="0052496F">
        <w:t>Indberetningen afhænger af hvornår Erhvervsstyrelsen afkøber fordringerne fra energivirksomhederne.</w:t>
      </w:r>
    </w:p>
    <w:p w14:paraId="560CD96E" w14:textId="45FE25EE" w:rsidR="0052496F" w:rsidRDefault="0052496F"/>
    <w:p w14:paraId="4201F48D" w14:textId="522ADC6C" w:rsidR="0052496F" w:rsidRPr="0052496F" w:rsidRDefault="0052496F">
      <w:pPr>
        <w:rPr>
          <w:b/>
          <w:bCs/>
        </w:rPr>
      </w:pPr>
      <w:proofErr w:type="spellStart"/>
      <w:r w:rsidRPr="0052496F">
        <w:rPr>
          <w:b/>
          <w:bCs/>
        </w:rPr>
        <w:t>KontoOphørDato</w:t>
      </w:r>
      <w:proofErr w:type="spellEnd"/>
    </w:p>
    <w:p w14:paraId="576D2247" w14:textId="5CA7FC39" w:rsidR="007A29AE" w:rsidRDefault="007A29AE">
      <w:r w:rsidRPr="0052496F">
        <w:t>Den dato Erhvervsstyrelsen træffer afgørelse om overdragelsen</w:t>
      </w:r>
      <w:r w:rsidR="00577DCD" w:rsidRPr="0052496F">
        <w:t>, betegnes</w:t>
      </w:r>
      <w:r w:rsidRPr="0052496F">
        <w:t xml:space="preserve"> som </w:t>
      </w:r>
      <w:proofErr w:type="spellStart"/>
      <w:r w:rsidRPr="0052496F">
        <w:t>afkøbstidspunkt</w:t>
      </w:r>
      <w:proofErr w:type="spellEnd"/>
      <w:r w:rsidRPr="0052496F">
        <w:t xml:space="preserve"> og skal bruges som </w:t>
      </w:r>
      <w:proofErr w:type="spellStart"/>
      <w:r w:rsidRPr="0052496F">
        <w:t>KontoOphørDato</w:t>
      </w:r>
      <w:proofErr w:type="spellEnd"/>
      <w:r w:rsidR="003E16D6" w:rsidRPr="0052496F">
        <w:t>.</w:t>
      </w:r>
    </w:p>
    <w:p w14:paraId="33840B39" w14:textId="6BAF4E7D" w:rsidR="0052496F" w:rsidRDefault="0052496F"/>
    <w:p w14:paraId="3F6307DF" w14:textId="5531D698" w:rsidR="0052496F" w:rsidRPr="0052496F" w:rsidRDefault="0052496F">
      <w:pPr>
        <w:rPr>
          <w:b/>
          <w:bCs/>
        </w:rPr>
      </w:pPr>
      <w:proofErr w:type="spellStart"/>
      <w:r w:rsidRPr="0052496F">
        <w:rPr>
          <w:b/>
          <w:bCs/>
        </w:rPr>
        <w:t>KontoStartDato</w:t>
      </w:r>
      <w:proofErr w:type="spellEnd"/>
    </w:p>
    <w:p w14:paraId="7626FBB6" w14:textId="74EC5E60" w:rsidR="003E16D6" w:rsidRPr="0052496F" w:rsidRDefault="003E16D6" w:rsidP="003E16D6">
      <w:pPr>
        <w:rPr>
          <w:sz w:val="22"/>
          <w:szCs w:val="22"/>
        </w:rPr>
      </w:pPr>
      <w:r w:rsidRPr="0052496F">
        <w:t xml:space="preserve">Indefrysningslån skal have </w:t>
      </w:r>
      <w:proofErr w:type="spellStart"/>
      <w:r w:rsidR="0052496F">
        <w:t>K</w:t>
      </w:r>
      <w:r w:rsidRPr="0052496F">
        <w:t>onto</w:t>
      </w:r>
      <w:r w:rsidR="0052496F">
        <w:t>S</w:t>
      </w:r>
      <w:r w:rsidRPr="0052496F">
        <w:t>tart</w:t>
      </w:r>
      <w:r w:rsidR="0052496F">
        <w:t>D</w:t>
      </w:r>
      <w:r w:rsidRPr="0052496F">
        <w:t>ato</w:t>
      </w:r>
      <w:proofErr w:type="spellEnd"/>
      <w:r w:rsidRPr="0052496F">
        <w:t xml:space="preserve"> det tidspunkt hvor der første gang sker indefrysning af et beløb og der derved stiftes en gæld. Når fordringen overdrages til E</w:t>
      </w:r>
      <w:r w:rsidR="00E57272" w:rsidRPr="0052496F">
        <w:t>rhvervsstyrelsen</w:t>
      </w:r>
      <w:r w:rsidRPr="0052496F">
        <w:t>, skal Erhvervsstyrelsen bruge samme dato som energivirksomhedens oprindelige startdato.</w:t>
      </w:r>
    </w:p>
    <w:p w14:paraId="23BB5575" w14:textId="3C9AD2AF" w:rsidR="003E16D6" w:rsidRPr="0052496F" w:rsidRDefault="003E16D6" w:rsidP="003E16D6">
      <w:r w:rsidRPr="0052496F">
        <w:t>Hvis der sker indefrysning af flere fakturaer, anses det stadig for et og samme lån</w:t>
      </w:r>
      <w:r w:rsidR="00513B97" w:rsidRPr="0052496F">
        <w:t xml:space="preserve">. </w:t>
      </w:r>
      <w:proofErr w:type="spellStart"/>
      <w:r w:rsidR="00513B97" w:rsidRPr="0052496F">
        <w:t>Konto</w:t>
      </w:r>
      <w:r w:rsidR="0052496F">
        <w:t>S</w:t>
      </w:r>
      <w:r w:rsidR="00513B97" w:rsidRPr="0052496F">
        <w:t>tart</w:t>
      </w:r>
      <w:r w:rsidR="0052496F">
        <w:t>D</w:t>
      </w:r>
      <w:r w:rsidR="00513B97" w:rsidRPr="0052496F">
        <w:t>ato</w:t>
      </w:r>
      <w:proofErr w:type="spellEnd"/>
      <w:r w:rsidR="00513B97" w:rsidRPr="0052496F">
        <w:t xml:space="preserve"> er det tidspunkt hvor der første gang sker indefrysning af en </w:t>
      </w:r>
      <w:r w:rsidR="00E57272" w:rsidRPr="0052496F">
        <w:t>faktura.</w:t>
      </w:r>
      <w:r w:rsidR="00513B97" w:rsidRPr="0052496F">
        <w:t xml:space="preserve"> Lånet skal have samme </w:t>
      </w:r>
      <w:proofErr w:type="spellStart"/>
      <w:r w:rsidR="0052496F">
        <w:t>K</w:t>
      </w:r>
      <w:r w:rsidR="00513B97" w:rsidRPr="0052496F">
        <w:t>onto</w:t>
      </w:r>
      <w:r w:rsidR="0052496F">
        <w:t>S</w:t>
      </w:r>
      <w:r w:rsidR="00513B97" w:rsidRPr="0052496F">
        <w:t>tart</w:t>
      </w:r>
      <w:r w:rsidR="0052496F">
        <w:t>D</w:t>
      </w:r>
      <w:r w:rsidR="00513B97" w:rsidRPr="0052496F">
        <w:t>ato</w:t>
      </w:r>
      <w:proofErr w:type="spellEnd"/>
      <w:r w:rsidR="00513B97" w:rsidRPr="0052496F">
        <w:t xml:space="preserve"> i hele lånets løbetid.</w:t>
      </w:r>
    </w:p>
    <w:p w14:paraId="7ED1CC7A" w14:textId="519E7229" w:rsidR="00EB195F" w:rsidRPr="0052496F" w:rsidRDefault="00EB195F" w:rsidP="003E16D6"/>
    <w:p w14:paraId="26BAE940" w14:textId="6B93120A" w:rsidR="007369A8" w:rsidRPr="0052496F" w:rsidRDefault="007369A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87"/>
        <w:gridCol w:w="2208"/>
        <w:gridCol w:w="2326"/>
        <w:gridCol w:w="2388"/>
      </w:tblGrid>
      <w:tr w:rsidR="007369A8" w:rsidRPr="0052496F" w14:paraId="644A0655" w14:textId="77777777" w:rsidTr="009C2232">
        <w:trPr>
          <w:trHeight w:val="147"/>
        </w:trPr>
        <w:tc>
          <w:tcPr>
            <w:tcW w:w="2187" w:type="dxa"/>
            <w:shd w:val="clear" w:color="auto" w:fill="BFBFBF" w:themeFill="background1" w:themeFillShade="BF"/>
          </w:tcPr>
          <w:p w14:paraId="0EEE89D7" w14:textId="77777777" w:rsidR="007369A8" w:rsidRPr="0052496F" w:rsidRDefault="007369A8" w:rsidP="009C2232">
            <w:pPr>
              <w:rPr>
                <w:b/>
                <w:bCs/>
              </w:rPr>
            </w:pPr>
            <w:r w:rsidRPr="0052496F">
              <w:rPr>
                <w:b/>
                <w:bCs/>
              </w:rPr>
              <w:t>Situation 1:</w:t>
            </w:r>
          </w:p>
          <w:p w14:paraId="702AB719" w14:textId="77777777" w:rsidR="007369A8" w:rsidRPr="0052496F" w:rsidRDefault="007369A8" w:rsidP="009C2232">
            <w:r w:rsidRPr="0052496F">
              <w:t>Lån afkøbes senest 31. december 2023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31BF2A8D" w14:textId="77777777" w:rsidR="007369A8" w:rsidRPr="0052496F" w:rsidRDefault="007369A8" w:rsidP="009C2232">
            <w:r w:rsidRPr="0052496F">
              <w:t>Felt</w:t>
            </w:r>
          </w:p>
        </w:tc>
        <w:tc>
          <w:tcPr>
            <w:tcW w:w="2326" w:type="dxa"/>
            <w:shd w:val="clear" w:color="auto" w:fill="BFBFBF" w:themeFill="background1" w:themeFillShade="BF"/>
          </w:tcPr>
          <w:p w14:paraId="0DD02F6E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Energivirksomhed </w:t>
            </w:r>
            <w:proofErr w:type="spellStart"/>
            <w:proofErr w:type="gramStart"/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El,gas</w:t>
            </w:r>
            <w:proofErr w:type="spellEnd"/>
            <w:proofErr w:type="gramEnd"/>
            <w:r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 og fjernvarme selskaber</w:t>
            </w:r>
          </w:p>
        </w:tc>
        <w:tc>
          <w:tcPr>
            <w:tcW w:w="2388" w:type="dxa"/>
            <w:shd w:val="clear" w:color="auto" w:fill="BFBFBF" w:themeFill="background1" w:themeFillShade="BF"/>
          </w:tcPr>
          <w:p w14:paraId="06B83807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Erhvervsstyrelsen</w:t>
            </w:r>
          </w:p>
        </w:tc>
      </w:tr>
      <w:tr w:rsidR="007369A8" w:rsidRPr="0052496F" w14:paraId="79B82FB6" w14:textId="77777777" w:rsidTr="009C2232">
        <w:trPr>
          <w:trHeight w:val="308"/>
        </w:trPr>
        <w:tc>
          <w:tcPr>
            <w:tcW w:w="2187" w:type="dxa"/>
            <w:shd w:val="clear" w:color="auto" w:fill="BFBFBF" w:themeFill="background1" w:themeFillShade="BF"/>
          </w:tcPr>
          <w:p w14:paraId="06E1E803" w14:textId="77777777" w:rsidR="007369A8" w:rsidRPr="0052496F" w:rsidRDefault="007369A8" w:rsidP="009C2232">
            <w:r w:rsidRPr="0052496F">
              <w:t xml:space="preserve">Årsindberetning </w:t>
            </w:r>
            <w:r w:rsidRPr="0052496F">
              <w:rPr>
                <w:b/>
                <w:bCs/>
              </w:rPr>
              <w:t>2023</w:t>
            </w:r>
          </w:p>
        </w:tc>
        <w:tc>
          <w:tcPr>
            <w:tcW w:w="2208" w:type="dxa"/>
          </w:tcPr>
          <w:p w14:paraId="238E7B9B" w14:textId="77777777" w:rsidR="007369A8" w:rsidRPr="0052496F" w:rsidRDefault="007369A8" w:rsidP="009C2232">
            <w:proofErr w:type="spellStart"/>
            <w:r w:rsidRPr="0052496F">
              <w:rPr>
                <w:rFonts w:ascii="Calibri" w:hAnsi="Calibri" w:cs="Calibri"/>
                <w:sz w:val="22"/>
                <w:szCs w:val="22"/>
              </w:rPr>
              <w:t>KontoStartDato</w:t>
            </w:r>
            <w:proofErr w:type="spellEnd"/>
          </w:p>
        </w:tc>
        <w:tc>
          <w:tcPr>
            <w:tcW w:w="2326" w:type="dxa"/>
          </w:tcPr>
          <w:p w14:paraId="2C28ABD9" w14:textId="614E271A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Det tidspunkt hvor der </w:t>
            </w:r>
            <w:r w:rsidR="00513B97"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første gang </w:t>
            </w: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sker indefrysning af e</w:t>
            </w:r>
            <w:r w:rsidR="00513B97" w:rsidRPr="0052496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3B97" w:rsidRPr="0052496F">
              <w:rPr>
                <w:rFonts w:asciiTheme="minorHAnsi" w:hAnsiTheme="minorHAnsi" w:cstheme="minorHAnsi"/>
                <w:sz w:val="22"/>
                <w:szCs w:val="22"/>
              </w:rPr>
              <w:t>faktura</w:t>
            </w: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, og der dermed stiftes en gæld.</w:t>
            </w:r>
          </w:p>
        </w:tc>
        <w:tc>
          <w:tcPr>
            <w:tcW w:w="2388" w:type="dxa"/>
          </w:tcPr>
          <w:p w14:paraId="2F5562B3" w14:textId="6B6716BC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Det tidspunkt hvor der </w:t>
            </w:r>
            <w:r w:rsidR="00513B97"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første gang </w:t>
            </w: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sker indefrysning af e</w:t>
            </w:r>
            <w:r w:rsidR="00513B97" w:rsidRPr="0052496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3B97" w:rsidRPr="0052496F">
              <w:rPr>
                <w:rFonts w:asciiTheme="minorHAnsi" w:hAnsiTheme="minorHAnsi" w:cstheme="minorHAnsi"/>
                <w:sz w:val="22"/>
                <w:szCs w:val="22"/>
              </w:rPr>
              <w:t>faktura</w:t>
            </w: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, og der dermed stiftes en gæld. Denne oplysning skal indhentes fra energivirksomheden.</w:t>
            </w:r>
          </w:p>
        </w:tc>
      </w:tr>
      <w:tr w:rsidR="007369A8" w:rsidRPr="0052496F" w14:paraId="09C226A5" w14:textId="77777777" w:rsidTr="009C2232">
        <w:trPr>
          <w:trHeight w:val="194"/>
        </w:trPr>
        <w:tc>
          <w:tcPr>
            <w:tcW w:w="2187" w:type="dxa"/>
            <w:shd w:val="clear" w:color="auto" w:fill="BFBFBF" w:themeFill="background1" w:themeFillShade="BF"/>
          </w:tcPr>
          <w:p w14:paraId="2A0B4C49" w14:textId="77777777" w:rsidR="007369A8" w:rsidRPr="0052496F" w:rsidRDefault="007369A8" w:rsidP="009C2232"/>
        </w:tc>
        <w:tc>
          <w:tcPr>
            <w:tcW w:w="2208" w:type="dxa"/>
          </w:tcPr>
          <w:p w14:paraId="0E7A470B" w14:textId="77777777" w:rsidR="007369A8" w:rsidRPr="0052496F" w:rsidRDefault="007369A8" w:rsidP="009C2232">
            <w:proofErr w:type="spellStart"/>
            <w:r w:rsidRPr="0052496F">
              <w:rPr>
                <w:rFonts w:ascii="Calibri" w:hAnsi="Calibri" w:cs="Calibri"/>
                <w:sz w:val="22"/>
                <w:szCs w:val="22"/>
              </w:rPr>
              <w:t>KontoOphørDato</w:t>
            </w:r>
            <w:proofErr w:type="spellEnd"/>
          </w:p>
        </w:tc>
        <w:tc>
          <w:tcPr>
            <w:tcW w:w="2326" w:type="dxa"/>
          </w:tcPr>
          <w:p w14:paraId="04041F28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Datoen for afkøb i 2023 (Da lånet er ophørt hos energivirksomheden denne dato).</w:t>
            </w:r>
          </w:p>
        </w:tc>
        <w:tc>
          <w:tcPr>
            <w:tcW w:w="2388" w:type="dxa"/>
          </w:tcPr>
          <w:p w14:paraId="2D2BF0D0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 Skal ikke udfyldes</w:t>
            </w:r>
          </w:p>
        </w:tc>
      </w:tr>
      <w:tr w:rsidR="007369A8" w:rsidRPr="0052496F" w14:paraId="41AF8CCB" w14:textId="77777777" w:rsidTr="009C2232">
        <w:trPr>
          <w:trHeight w:val="308"/>
        </w:trPr>
        <w:tc>
          <w:tcPr>
            <w:tcW w:w="2187" w:type="dxa"/>
            <w:shd w:val="clear" w:color="auto" w:fill="BFBFBF" w:themeFill="background1" w:themeFillShade="BF"/>
          </w:tcPr>
          <w:p w14:paraId="78513B90" w14:textId="77777777" w:rsidR="007369A8" w:rsidRPr="0052496F" w:rsidRDefault="007369A8" w:rsidP="009C2232"/>
        </w:tc>
        <w:tc>
          <w:tcPr>
            <w:tcW w:w="2208" w:type="dxa"/>
          </w:tcPr>
          <w:p w14:paraId="5F670948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496F">
              <w:rPr>
                <w:rFonts w:ascii="Calibri" w:hAnsi="Calibri" w:cs="Calibri"/>
                <w:sz w:val="22"/>
                <w:szCs w:val="22"/>
              </w:rPr>
              <w:t>RenteBeløb</w:t>
            </w:r>
            <w:proofErr w:type="spellEnd"/>
          </w:p>
        </w:tc>
        <w:tc>
          <w:tcPr>
            <w:tcW w:w="2326" w:type="dxa"/>
          </w:tcPr>
          <w:p w14:paraId="0EDC06AC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De forfaldne renter i perioden 01.01.2023 frem til afkøb af fordring</w:t>
            </w:r>
            <w:r w:rsidRPr="0052496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(Der opstår kun forfaldne renter hvis lånet er indfriet i året)</w:t>
            </w:r>
          </w:p>
        </w:tc>
        <w:tc>
          <w:tcPr>
            <w:tcW w:w="2388" w:type="dxa"/>
          </w:tcPr>
          <w:p w14:paraId="29F89D19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De forfaldne renter i perioden fra afkøb og frem 31.12.2023 (Der opstår kun forfaldne renter hvis lånet er indfriet i året)</w:t>
            </w:r>
          </w:p>
        </w:tc>
      </w:tr>
      <w:tr w:rsidR="007369A8" w:rsidRPr="0052496F" w14:paraId="61A078DF" w14:textId="77777777" w:rsidTr="009C2232">
        <w:trPr>
          <w:trHeight w:val="79"/>
        </w:trPr>
        <w:tc>
          <w:tcPr>
            <w:tcW w:w="2187" w:type="dxa"/>
            <w:shd w:val="clear" w:color="auto" w:fill="BFBFBF" w:themeFill="background1" w:themeFillShade="BF"/>
          </w:tcPr>
          <w:p w14:paraId="06B910E1" w14:textId="77777777" w:rsidR="007369A8" w:rsidRPr="0052496F" w:rsidRDefault="007369A8" w:rsidP="009C2232"/>
        </w:tc>
        <w:tc>
          <w:tcPr>
            <w:tcW w:w="2208" w:type="dxa"/>
          </w:tcPr>
          <w:p w14:paraId="04C94602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496F">
              <w:rPr>
                <w:rFonts w:ascii="Calibri" w:hAnsi="Calibri" w:cs="Calibri"/>
                <w:sz w:val="22"/>
                <w:szCs w:val="22"/>
              </w:rPr>
              <w:t>LånRestgældBeløb</w:t>
            </w:r>
            <w:proofErr w:type="spellEnd"/>
          </w:p>
        </w:tc>
        <w:tc>
          <w:tcPr>
            <w:tcW w:w="2326" w:type="dxa"/>
          </w:tcPr>
          <w:p w14:paraId="388F6C08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0 kr.</w:t>
            </w:r>
          </w:p>
        </w:tc>
        <w:tc>
          <w:tcPr>
            <w:tcW w:w="2388" w:type="dxa"/>
          </w:tcPr>
          <w:p w14:paraId="7130364F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Restgæld pr. 31.12.2023</w:t>
            </w:r>
          </w:p>
        </w:tc>
      </w:tr>
      <w:tr w:rsidR="007369A8" w:rsidRPr="0052496F" w14:paraId="2DEFC3FB" w14:textId="77777777" w:rsidTr="007369A8">
        <w:trPr>
          <w:trHeight w:val="79"/>
        </w:trPr>
        <w:tc>
          <w:tcPr>
            <w:tcW w:w="2187" w:type="dxa"/>
            <w:shd w:val="clear" w:color="auto" w:fill="BFBFBF" w:themeFill="background1" w:themeFillShade="BF"/>
          </w:tcPr>
          <w:p w14:paraId="6449ECBC" w14:textId="77777777" w:rsidR="007369A8" w:rsidRPr="0052496F" w:rsidRDefault="007369A8" w:rsidP="009C2232"/>
        </w:tc>
        <w:tc>
          <w:tcPr>
            <w:tcW w:w="2208" w:type="dxa"/>
            <w:shd w:val="clear" w:color="auto" w:fill="BFBFBF" w:themeFill="background1" w:themeFillShade="BF"/>
          </w:tcPr>
          <w:p w14:paraId="030BCD74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76D596DB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8" w:type="dxa"/>
            <w:shd w:val="clear" w:color="auto" w:fill="BFBFBF" w:themeFill="background1" w:themeFillShade="BF"/>
          </w:tcPr>
          <w:p w14:paraId="7B0946D8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9A8" w:rsidRPr="0052496F" w14:paraId="7FDD4675" w14:textId="77777777" w:rsidTr="009C2232">
        <w:trPr>
          <w:trHeight w:val="79"/>
        </w:trPr>
        <w:tc>
          <w:tcPr>
            <w:tcW w:w="2187" w:type="dxa"/>
            <w:shd w:val="clear" w:color="auto" w:fill="BFBFBF" w:themeFill="background1" w:themeFillShade="BF"/>
          </w:tcPr>
          <w:p w14:paraId="623E433B" w14:textId="77777777" w:rsidR="007369A8" w:rsidRPr="0052496F" w:rsidRDefault="007369A8" w:rsidP="009C2232">
            <w:r w:rsidRPr="0052496F">
              <w:t xml:space="preserve">Årsindberetning </w:t>
            </w:r>
            <w:r w:rsidRPr="0052496F">
              <w:rPr>
                <w:b/>
                <w:bCs/>
              </w:rPr>
              <w:t>2024</w:t>
            </w:r>
          </w:p>
        </w:tc>
        <w:tc>
          <w:tcPr>
            <w:tcW w:w="2208" w:type="dxa"/>
          </w:tcPr>
          <w:p w14:paraId="09A6207A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6" w:type="dxa"/>
          </w:tcPr>
          <w:p w14:paraId="4538AD54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Ingen indberetninger til årsindberetning 2024</w:t>
            </w:r>
          </w:p>
        </w:tc>
        <w:tc>
          <w:tcPr>
            <w:tcW w:w="2388" w:type="dxa"/>
          </w:tcPr>
          <w:p w14:paraId="2A5E5485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Der foretages indberetninger for hele 2024 (kvartal + årsindberetning)</w:t>
            </w:r>
          </w:p>
        </w:tc>
      </w:tr>
      <w:tr w:rsidR="007369A8" w:rsidRPr="0052496F" w14:paraId="349B594B" w14:textId="77777777" w:rsidTr="00577DCD">
        <w:trPr>
          <w:trHeight w:val="845"/>
        </w:trPr>
        <w:tc>
          <w:tcPr>
            <w:tcW w:w="2187" w:type="dxa"/>
            <w:shd w:val="clear" w:color="auto" w:fill="A6A6A6" w:themeFill="background1" w:themeFillShade="A6"/>
          </w:tcPr>
          <w:p w14:paraId="66E4F608" w14:textId="77777777" w:rsidR="007369A8" w:rsidRPr="0052496F" w:rsidRDefault="007369A8" w:rsidP="009C2232"/>
        </w:tc>
        <w:tc>
          <w:tcPr>
            <w:tcW w:w="2208" w:type="dxa"/>
            <w:shd w:val="clear" w:color="auto" w:fill="A6A6A6" w:themeFill="background1" w:themeFillShade="A6"/>
          </w:tcPr>
          <w:p w14:paraId="78BF70BD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6" w:type="dxa"/>
            <w:shd w:val="clear" w:color="auto" w:fill="A6A6A6" w:themeFill="background1" w:themeFillShade="A6"/>
          </w:tcPr>
          <w:p w14:paraId="6354E8B6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8" w:type="dxa"/>
            <w:shd w:val="clear" w:color="auto" w:fill="A6A6A6" w:themeFill="background1" w:themeFillShade="A6"/>
          </w:tcPr>
          <w:p w14:paraId="4B70773E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9A8" w:rsidRPr="0052496F" w14:paraId="73F34C77" w14:textId="77777777" w:rsidTr="009C2232">
        <w:trPr>
          <w:trHeight w:val="147"/>
        </w:trPr>
        <w:tc>
          <w:tcPr>
            <w:tcW w:w="2187" w:type="dxa"/>
            <w:shd w:val="clear" w:color="auto" w:fill="B4C6E7" w:themeFill="accent1" w:themeFillTint="66"/>
          </w:tcPr>
          <w:p w14:paraId="46BD6EEF" w14:textId="77777777" w:rsidR="007369A8" w:rsidRPr="0052496F" w:rsidRDefault="007369A8" w:rsidP="009C2232">
            <w:pPr>
              <w:rPr>
                <w:b/>
                <w:bCs/>
              </w:rPr>
            </w:pPr>
            <w:r w:rsidRPr="0052496F">
              <w:rPr>
                <w:b/>
                <w:bCs/>
              </w:rPr>
              <w:t>Situation 2:</w:t>
            </w:r>
          </w:p>
          <w:p w14:paraId="6C5594BF" w14:textId="77777777" w:rsidR="007369A8" w:rsidRPr="0052496F" w:rsidRDefault="007369A8" w:rsidP="009C2232">
            <w:r w:rsidRPr="0052496F">
              <w:t>Lån afkøbes i 2024</w:t>
            </w:r>
          </w:p>
        </w:tc>
        <w:tc>
          <w:tcPr>
            <w:tcW w:w="2208" w:type="dxa"/>
            <w:shd w:val="clear" w:color="auto" w:fill="B4C6E7" w:themeFill="accent1" w:themeFillTint="66"/>
          </w:tcPr>
          <w:p w14:paraId="2A385FFE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  <w:r w:rsidRPr="0052496F">
              <w:rPr>
                <w:rFonts w:ascii="Calibri" w:hAnsi="Calibri" w:cs="Calibri"/>
              </w:rPr>
              <w:t>Felt</w:t>
            </w:r>
          </w:p>
        </w:tc>
        <w:tc>
          <w:tcPr>
            <w:tcW w:w="2326" w:type="dxa"/>
            <w:shd w:val="clear" w:color="auto" w:fill="B4C6E7" w:themeFill="accent1" w:themeFillTint="66"/>
          </w:tcPr>
          <w:p w14:paraId="4FC76FCF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Energivirksomhed </w:t>
            </w:r>
          </w:p>
          <w:p w14:paraId="31193E8D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El, gas og </w:t>
            </w:r>
            <w:proofErr w:type="gramStart"/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fjernvarme selskaber</w:t>
            </w:r>
            <w:proofErr w:type="gramEnd"/>
          </w:p>
        </w:tc>
        <w:tc>
          <w:tcPr>
            <w:tcW w:w="2388" w:type="dxa"/>
            <w:shd w:val="clear" w:color="auto" w:fill="B4C6E7" w:themeFill="accent1" w:themeFillTint="66"/>
          </w:tcPr>
          <w:p w14:paraId="308185B5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Erhvervsstyrelsen</w:t>
            </w:r>
          </w:p>
        </w:tc>
      </w:tr>
      <w:tr w:rsidR="007369A8" w:rsidRPr="0052496F" w14:paraId="40F87C96" w14:textId="77777777" w:rsidTr="009C2232">
        <w:trPr>
          <w:trHeight w:val="231"/>
        </w:trPr>
        <w:tc>
          <w:tcPr>
            <w:tcW w:w="2187" w:type="dxa"/>
            <w:shd w:val="clear" w:color="auto" w:fill="B4C6E7" w:themeFill="accent1" w:themeFillTint="66"/>
          </w:tcPr>
          <w:p w14:paraId="57C957A8" w14:textId="77777777" w:rsidR="007369A8" w:rsidRPr="0052496F" w:rsidRDefault="007369A8" w:rsidP="009C2232">
            <w:r w:rsidRPr="0052496F">
              <w:t xml:space="preserve">Årsindberetning </w:t>
            </w:r>
            <w:r w:rsidRPr="0052496F">
              <w:rPr>
                <w:b/>
                <w:bCs/>
              </w:rPr>
              <w:t>2023</w:t>
            </w:r>
          </w:p>
        </w:tc>
        <w:tc>
          <w:tcPr>
            <w:tcW w:w="2208" w:type="dxa"/>
          </w:tcPr>
          <w:p w14:paraId="6234AD8F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496F">
              <w:rPr>
                <w:rFonts w:ascii="Calibri" w:hAnsi="Calibri" w:cs="Calibri"/>
                <w:sz w:val="22"/>
                <w:szCs w:val="22"/>
              </w:rPr>
              <w:t>KontoStartDato</w:t>
            </w:r>
            <w:proofErr w:type="spellEnd"/>
          </w:p>
        </w:tc>
        <w:tc>
          <w:tcPr>
            <w:tcW w:w="2326" w:type="dxa"/>
          </w:tcPr>
          <w:p w14:paraId="19F32583" w14:textId="74060948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Det tidspunkt hvor der sker indefrysning af e</w:t>
            </w:r>
            <w:r w:rsidR="00513B97" w:rsidRPr="0052496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3B97" w:rsidRPr="0052496F">
              <w:rPr>
                <w:rFonts w:asciiTheme="minorHAnsi" w:hAnsiTheme="minorHAnsi" w:cstheme="minorHAnsi"/>
                <w:sz w:val="22"/>
                <w:szCs w:val="22"/>
              </w:rPr>
              <w:t>faktura</w:t>
            </w: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, og der dermed stiftes en gæld.</w:t>
            </w:r>
          </w:p>
        </w:tc>
        <w:tc>
          <w:tcPr>
            <w:tcW w:w="2388" w:type="dxa"/>
          </w:tcPr>
          <w:p w14:paraId="1FF2CEE9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Ingen indberetninger til årsindberetning 2023</w:t>
            </w:r>
          </w:p>
        </w:tc>
      </w:tr>
      <w:tr w:rsidR="007369A8" w:rsidRPr="0052496F" w14:paraId="39DBC222" w14:textId="77777777" w:rsidTr="009C2232">
        <w:trPr>
          <w:trHeight w:val="272"/>
        </w:trPr>
        <w:tc>
          <w:tcPr>
            <w:tcW w:w="2187" w:type="dxa"/>
            <w:shd w:val="clear" w:color="auto" w:fill="B4C6E7" w:themeFill="accent1" w:themeFillTint="66"/>
          </w:tcPr>
          <w:p w14:paraId="17D06C53" w14:textId="77777777" w:rsidR="007369A8" w:rsidRPr="0052496F" w:rsidRDefault="007369A8" w:rsidP="009C2232"/>
        </w:tc>
        <w:tc>
          <w:tcPr>
            <w:tcW w:w="2208" w:type="dxa"/>
          </w:tcPr>
          <w:p w14:paraId="31D859DC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496F">
              <w:rPr>
                <w:rFonts w:ascii="Calibri" w:hAnsi="Calibri" w:cs="Calibri"/>
                <w:sz w:val="22"/>
                <w:szCs w:val="22"/>
              </w:rPr>
              <w:t>RenteBeløb</w:t>
            </w:r>
            <w:proofErr w:type="spellEnd"/>
          </w:p>
        </w:tc>
        <w:tc>
          <w:tcPr>
            <w:tcW w:w="2326" w:type="dxa"/>
          </w:tcPr>
          <w:p w14:paraId="53FC1F1E" w14:textId="19ACB9C9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De forfaldne renter i perioden fra 01.01.2023 – 31.12.2023 (Der opstår kun forfaldne renter hvis lånet er indfriet i året)</w:t>
            </w:r>
            <w:r w:rsidR="0052496F" w:rsidRPr="0052496F">
              <w:rPr>
                <w:rFonts w:asciiTheme="minorHAnsi" w:hAnsiTheme="minorHAnsi" w:cstheme="minorHAnsi"/>
                <w:sz w:val="22"/>
                <w:szCs w:val="22"/>
              </w:rPr>
              <w:t>. Alle renter forfalder til betaling ved indfrielse.</w:t>
            </w:r>
          </w:p>
        </w:tc>
        <w:tc>
          <w:tcPr>
            <w:tcW w:w="2388" w:type="dxa"/>
          </w:tcPr>
          <w:p w14:paraId="0A42A5B5" w14:textId="120F99A0" w:rsidR="007369A8" w:rsidRPr="0052496F" w:rsidRDefault="00E57272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Ingen indberetninger til årsindberetning 2023</w:t>
            </w:r>
          </w:p>
        </w:tc>
      </w:tr>
      <w:tr w:rsidR="007369A8" w:rsidRPr="0052496F" w14:paraId="41D6B940" w14:textId="77777777" w:rsidTr="009C2232">
        <w:trPr>
          <w:trHeight w:val="76"/>
        </w:trPr>
        <w:tc>
          <w:tcPr>
            <w:tcW w:w="2187" w:type="dxa"/>
            <w:shd w:val="clear" w:color="auto" w:fill="B4C6E7" w:themeFill="accent1" w:themeFillTint="66"/>
          </w:tcPr>
          <w:p w14:paraId="3EB360BA" w14:textId="77777777" w:rsidR="007369A8" w:rsidRPr="0052496F" w:rsidRDefault="007369A8" w:rsidP="009C2232"/>
        </w:tc>
        <w:tc>
          <w:tcPr>
            <w:tcW w:w="2208" w:type="dxa"/>
          </w:tcPr>
          <w:p w14:paraId="02929943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496F">
              <w:rPr>
                <w:rFonts w:ascii="Calibri" w:hAnsi="Calibri" w:cs="Calibri"/>
                <w:sz w:val="22"/>
                <w:szCs w:val="22"/>
              </w:rPr>
              <w:t>LånRestgældBeløb</w:t>
            </w:r>
            <w:proofErr w:type="spellEnd"/>
          </w:p>
        </w:tc>
        <w:tc>
          <w:tcPr>
            <w:tcW w:w="2326" w:type="dxa"/>
          </w:tcPr>
          <w:p w14:paraId="4D0E6313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Restgæld pr. 31.12.2023</w:t>
            </w:r>
          </w:p>
        </w:tc>
        <w:tc>
          <w:tcPr>
            <w:tcW w:w="2388" w:type="dxa"/>
          </w:tcPr>
          <w:p w14:paraId="3BFBB189" w14:textId="7B85516F" w:rsidR="007369A8" w:rsidRPr="0052496F" w:rsidRDefault="00E57272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Ingen indberetninger til årsindberetning 2023</w:t>
            </w:r>
          </w:p>
        </w:tc>
      </w:tr>
      <w:tr w:rsidR="007369A8" w:rsidRPr="0052496F" w14:paraId="6C174824" w14:textId="77777777" w:rsidTr="009C2232">
        <w:trPr>
          <w:trHeight w:val="20"/>
        </w:trPr>
        <w:tc>
          <w:tcPr>
            <w:tcW w:w="2187" w:type="dxa"/>
            <w:shd w:val="clear" w:color="auto" w:fill="B4C6E7" w:themeFill="accent1" w:themeFillTint="66"/>
          </w:tcPr>
          <w:p w14:paraId="658D95FA" w14:textId="77777777" w:rsidR="007369A8" w:rsidRPr="0052496F" w:rsidRDefault="007369A8" w:rsidP="009C2232"/>
        </w:tc>
        <w:tc>
          <w:tcPr>
            <w:tcW w:w="2208" w:type="dxa"/>
            <w:shd w:val="clear" w:color="auto" w:fill="B4C6E7" w:themeFill="accent1" w:themeFillTint="66"/>
          </w:tcPr>
          <w:p w14:paraId="03BF8DD6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6" w:type="dxa"/>
            <w:shd w:val="clear" w:color="auto" w:fill="B4C6E7" w:themeFill="accent1" w:themeFillTint="66"/>
          </w:tcPr>
          <w:p w14:paraId="66B10170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8" w:type="dxa"/>
            <w:shd w:val="clear" w:color="auto" w:fill="B4C6E7" w:themeFill="accent1" w:themeFillTint="66"/>
          </w:tcPr>
          <w:p w14:paraId="2F911675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9A8" w:rsidRPr="0052496F" w14:paraId="7E1A2A19" w14:textId="77777777" w:rsidTr="00FF7616">
        <w:trPr>
          <w:trHeight w:val="20"/>
        </w:trPr>
        <w:tc>
          <w:tcPr>
            <w:tcW w:w="2187" w:type="dxa"/>
            <w:shd w:val="clear" w:color="auto" w:fill="B4C6E7" w:themeFill="accent1" w:themeFillTint="66"/>
          </w:tcPr>
          <w:p w14:paraId="54376B69" w14:textId="77777777" w:rsidR="007369A8" w:rsidRPr="0052496F" w:rsidRDefault="007369A8" w:rsidP="009C2232">
            <w:r w:rsidRPr="0052496F">
              <w:t xml:space="preserve">Årsindberetning </w:t>
            </w:r>
            <w:r w:rsidRPr="0052496F">
              <w:rPr>
                <w:b/>
                <w:bCs/>
              </w:rPr>
              <w:t>2024</w:t>
            </w:r>
          </w:p>
        </w:tc>
        <w:tc>
          <w:tcPr>
            <w:tcW w:w="2208" w:type="dxa"/>
            <w:shd w:val="clear" w:color="auto" w:fill="B4C6E7" w:themeFill="accent1" w:themeFillTint="66"/>
          </w:tcPr>
          <w:p w14:paraId="6D208F5B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  <w:r w:rsidRPr="0052496F">
              <w:rPr>
                <w:rFonts w:ascii="Calibri" w:hAnsi="Calibri" w:cs="Calibri"/>
              </w:rPr>
              <w:t>Felt</w:t>
            </w:r>
          </w:p>
        </w:tc>
        <w:tc>
          <w:tcPr>
            <w:tcW w:w="2326" w:type="dxa"/>
            <w:shd w:val="clear" w:color="auto" w:fill="B4C6E7" w:themeFill="accent1" w:themeFillTint="66"/>
          </w:tcPr>
          <w:p w14:paraId="15288BB3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Energivirksomhed </w:t>
            </w:r>
          </w:p>
          <w:p w14:paraId="4F840C65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El, gas og </w:t>
            </w:r>
            <w:proofErr w:type="gramStart"/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fjernvarme selskaber</w:t>
            </w:r>
            <w:proofErr w:type="gramEnd"/>
          </w:p>
        </w:tc>
        <w:tc>
          <w:tcPr>
            <w:tcW w:w="2388" w:type="dxa"/>
            <w:shd w:val="clear" w:color="auto" w:fill="B4C6E7" w:themeFill="accent1" w:themeFillTint="66"/>
          </w:tcPr>
          <w:p w14:paraId="17DC6BA4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Erhvervsstyrelsen</w:t>
            </w:r>
          </w:p>
        </w:tc>
      </w:tr>
      <w:tr w:rsidR="007369A8" w:rsidRPr="0052496F" w14:paraId="009994FE" w14:textId="77777777" w:rsidTr="009C2232">
        <w:trPr>
          <w:trHeight w:val="20"/>
        </w:trPr>
        <w:tc>
          <w:tcPr>
            <w:tcW w:w="2187" w:type="dxa"/>
            <w:shd w:val="clear" w:color="auto" w:fill="B4C6E7" w:themeFill="accent1" w:themeFillTint="66"/>
          </w:tcPr>
          <w:p w14:paraId="4CCDF1C6" w14:textId="77777777" w:rsidR="007369A8" w:rsidRPr="0052496F" w:rsidRDefault="007369A8" w:rsidP="009C2232"/>
        </w:tc>
        <w:tc>
          <w:tcPr>
            <w:tcW w:w="2208" w:type="dxa"/>
          </w:tcPr>
          <w:p w14:paraId="13C119F7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496F">
              <w:rPr>
                <w:rFonts w:ascii="Calibri" w:hAnsi="Calibri" w:cs="Calibri"/>
                <w:sz w:val="22"/>
                <w:szCs w:val="22"/>
              </w:rPr>
              <w:t>KontoStartDato</w:t>
            </w:r>
            <w:proofErr w:type="spellEnd"/>
          </w:p>
        </w:tc>
        <w:tc>
          <w:tcPr>
            <w:tcW w:w="2326" w:type="dxa"/>
          </w:tcPr>
          <w:p w14:paraId="720DD4D2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Det tidspunkt hvor der sker indefrysning af et beløb, og der dermed stiftes en gæld.</w:t>
            </w:r>
          </w:p>
        </w:tc>
        <w:tc>
          <w:tcPr>
            <w:tcW w:w="2388" w:type="dxa"/>
          </w:tcPr>
          <w:p w14:paraId="17AA700E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Det tidspunkt hvor der sker indefrysning af et beløb, og der dermed stiftes en gæld. Denne </w:t>
            </w:r>
            <w:r w:rsidRPr="005249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oplysning skal indhentes fra energivirksomheden.</w:t>
            </w:r>
          </w:p>
        </w:tc>
      </w:tr>
      <w:tr w:rsidR="007369A8" w:rsidRPr="0052496F" w14:paraId="2E3E481A" w14:textId="77777777" w:rsidTr="009C2232">
        <w:trPr>
          <w:trHeight w:val="20"/>
        </w:trPr>
        <w:tc>
          <w:tcPr>
            <w:tcW w:w="2187" w:type="dxa"/>
            <w:shd w:val="clear" w:color="auto" w:fill="B4C6E7" w:themeFill="accent1" w:themeFillTint="66"/>
          </w:tcPr>
          <w:p w14:paraId="1EF587D4" w14:textId="77777777" w:rsidR="007369A8" w:rsidRPr="0052496F" w:rsidRDefault="007369A8" w:rsidP="009C2232"/>
        </w:tc>
        <w:tc>
          <w:tcPr>
            <w:tcW w:w="2208" w:type="dxa"/>
          </w:tcPr>
          <w:p w14:paraId="4C68824B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496F">
              <w:rPr>
                <w:rFonts w:ascii="Calibri" w:hAnsi="Calibri" w:cs="Calibri"/>
                <w:sz w:val="22"/>
                <w:szCs w:val="22"/>
              </w:rPr>
              <w:t>KontoOphørDato</w:t>
            </w:r>
            <w:proofErr w:type="spellEnd"/>
          </w:p>
        </w:tc>
        <w:tc>
          <w:tcPr>
            <w:tcW w:w="2326" w:type="dxa"/>
          </w:tcPr>
          <w:p w14:paraId="605B5804" w14:textId="327CD29C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Dato for afkøb</w:t>
            </w:r>
            <w:r w:rsidR="007A29AE"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88" w:type="dxa"/>
          </w:tcPr>
          <w:p w14:paraId="2B4C6EAA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Skal ikke udfyldes</w:t>
            </w:r>
          </w:p>
        </w:tc>
      </w:tr>
      <w:tr w:rsidR="007369A8" w:rsidRPr="0052496F" w14:paraId="22133999" w14:textId="77777777" w:rsidTr="009C2232">
        <w:trPr>
          <w:trHeight w:val="20"/>
        </w:trPr>
        <w:tc>
          <w:tcPr>
            <w:tcW w:w="2187" w:type="dxa"/>
            <w:shd w:val="clear" w:color="auto" w:fill="B4C6E7" w:themeFill="accent1" w:themeFillTint="66"/>
          </w:tcPr>
          <w:p w14:paraId="2660C6D8" w14:textId="77777777" w:rsidR="007369A8" w:rsidRPr="0052496F" w:rsidRDefault="007369A8" w:rsidP="009C2232"/>
        </w:tc>
        <w:tc>
          <w:tcPr>
            <w:tcW w:w="2208" w:type="dxa"/>
          </w:tcPr>
          <w:p w14:paraId="69B90530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496F">
              <w:rPr>
                <w:rFonts w:ascii="Calibri" w:hAnsi="Calibri" w:cs="Calibri"/>
                <w:sz w:val="22"/>
                <w:szCs w:val="22"/>
              </w:rPr>
              <w:t>RenteBeløb</w:t>
            </w:r>
            <w:proofErr w:type="spellEnd"/>
          </w:p>
        </w:tc>
        <w:tc>
          <w:tcPr>
            <w:tcW w:w="2326" w:type="dxa"/>
          </w:tcPr>
          <w:p w14:paraId="7A08EF88" w14:textId="4602986D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De forfaldne renter i perioden fra 01.01.2024 og frem til afkøb af fordring</w:t>
            </w:r>
            <w:r w:rsidR="0052496F" w:rsidRPr="005249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88" w:type="dxa"/>
          </w:tcPr>
          <w:p w14:paraId="43DA203A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De forfaldne renter i perioden fra afkøb og frem til 31.12.2024</w:t>
            </w:r>
          </w:p>
        </w:tc>
      </w:tr>
      <w:tr w:rsidR="007369A8" w:rsidRPr="0052496F" w14:paraId="3E470460" w14:textId="77777777" w:rsidTr="009C2232">
        <w:trPr>
          <w:trHeight w:val="76"/>
        </w:trPr>
        <w:tc>
          <w:tcPr>
            <w:tcW w:w="2187" w:type="dxa"/>
            <w:shd w:val="clear" w:color="auto" w:fill="B4C6E7" w:themeFill="accent1" w:themeFillTint="66"/>
          </w:tcPr>
          <w:p w14:paraId="569564F8" w14:textId="77777777" w:rsidR="007369A8" w:rsidRPr="0052496F" w:rsidRDefault="007369A8" w:rsidP="009C2232"/>
        </w:tc>
        <w:tc>
          <w:tcPr>
            <w:tcW w:w="2208" w:type="dxa"/>
          </w:tcPr>
          <w:p w14:paraId="3C4F5563" w14:textId="77777777" w:rsidR="007369A8" w:rsidRPr="0052496F" w:rsidRDefault="007369A8" w:rsidP="009C223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496F">
              <w:rPr>
                <w:rFonts w:ascii="Calibri" w:hAnsi="Calibri" w:cs="Calibri"/>
                <w:sz w:val="22"/>
                <w:szCs w:val="22"/>
              </w:rPr>
              <w:t>LånRestgældBeløb</w:t>
            </w:r>
            <w:proofErr w:type="spellEnd"/>
          </w:p>
        </w:tc>
        <w:tc>
          <w:tcPr>
            <w:tcW w:w="2326" w:type="dxa"/>
          </w:tcPr>
          <w:p w14:paraId="4A8B81E5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 xml:space="preserve">0 kr. </w:t>
            </w:r>
          </w:p>
        </w:tc>
        <w:tc>
          <w:tcPr>
            <w:tcW w:w="2388" w:type="dxa"/>
          </w:tcPr>
          <w:p w14:paraId="6502FA3E" w14:textId="77777777" w:rsidR="007369A8" w:rsidRPr="0052496F" w:rsidRDefault="007369A8" w:rsidP="009C2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96F">
              <w:rPr>
                <w:rFonts w:asciiTheme="minorHAnsi" w:hAnsiTheme="minorHAnsi" w:cstheme="minorHAnsi"/>
                <w:sz w:val="22"/>
                <w:szCs w:val="22"/>
              </w:rPr>
              <w:t>Restgæld pr. 31.12.2024</w:t>
            </w:r>
          </w:p>
        </w:tc>
      </w:tr>
    </w:tbl>
    <w:p w14:paraId="4563E010" w14:textId="23979A09" w:rsidR="007369A8" w:rsidRPr="0052496F" w:rsidRDefault="007369A8"/>
    <w:p w14:paraId="702752A7" w14:textId="331E269D" w:rsidR="007369A8" w:rsidRPr="0052496F" w:rsidRDefault="007369A8">
      <w:r w:rsidRPr="0052496F">
        <w:t>Skattestyrelsen, ekapital oktober 2023</w:t>
      </w:r>
    </w:p>
    <w:p w14:paraId="26BC16E6" w14:textId="71F4A185" w:rsidR="00DD236D" w:rsidRPr="0052496F" w:rsidRDefault="00DD236D">
      <w:r w:rsidRPr="0052496F">
        <w:t>Revideret november 2023</w:t>
      </w:r>
    </w:p>
    <w:p w14:paraId="2F4E571F" w14:textId="6B711334" w:rsidR="007369A8" w:rsidRPr="0052496F" w:rsidRDefault="007369A8"/>
    <w:p w14:paraId="6BFAB503" w14:textId="568D58AC" w:rsidR="007369A8" w:rsidRPr="0052496F" w:rsidRDefault="007369A8">
      <w:r w:rsidRPr="0052496F">
        <w:t>Kontaktoplysninger:</w:t>
      </w:r>
    </w:p>
    <w:p w14:paraId="078FB314" w14:textId="0117356D" w:rsidR="007369A8" w:rsidRPr="0052496F" w:rsidRDefault="007369A8">
      <w:r w:rsidRPr="0052496F">
        <w:t>Ekapital tlf. 72380210</w:t>
      </w:r>
    </w:p>
    <w:p w14:paraId="72694A12" w14:textId="300164E8" w:rsidR="007369A8" w:rsidRDefault="007369A8">
      <w:r w:rsidRPr="0052496F">
        <w:t xml:space="preserve">Mail: </w:t>
      </w:r>
      <w:hyperlink r:id="rId7" w:history="1">
        <w:r w:rsidRPr="0052496F">
          <w:rPr>
            <w:rStyle w:val="Hyperlink"/>
          </w:rPr>
          <w:t>ekapital@sktst.dk</w:t>
        </w:r>
      </w:hyperlink>
      <w:r w:rsidRPr="0052496F">
        <w:t xml:space="preserve"> eller via kontakt på skat.dk/tastselverhverv</w:t>
      </w:r>
    </w:p>
    <w:sectPr w:rsidR="007369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A8"/>
    <w:rsid w:val="00001A24"/>
    <w:rsid w:val="00060722"/>
    <w:rsid w:val="00090B48"/>
    <w:rsid w:val="000D0AB5"/>
    <w:rsid w:val="00147F4F"/>
    <w:rsid w:val="001A6B18"/>
    <w:rsid w:val="00200DA9"/>
    <w:rsid w:val="0021537A"/>
    <w:rsid w:val="00337D0A"/>
    <w:rsid w:val="00377278"/>
    <w:rsid w:val="003C6BC3"/>
    <w:rsid w:val="003E16D6"/>
    <w:rsid w:val="003E243D"/>
    <w:rsid w:val="00494F85"/>
    <w:rsid w:val="0050788C"/>
    <w:rsid w:val="00513B97"/>
    <w:rsid w:val="0052496F"/>
    <w:rsid w:val="00577DCD"/>
    <w:rsid w:val="005B08CC"/>
    <w:rsid w:val="00631836"/>
    <w:rsid w:val="006A5330"/>
    <w:rsid w:val="007369A8"/>
    <w:rsid w:val="00780FB9"/>
    <w:rsid w:val="007A29AE"/>
    <w:rsid w:val="007D76D0"/>
    <w:rsid w:val="008F3403"/>
    <w:rsid w:val="00A116BB"/>
    <w:rsid w:val="00A17836"/>
    <w:rsid w:val="00A6160D"/>
    <w:rsid w:val="00A658E0"/>
    <w:rsid w:val="00B22279"/>
    <w:rsid w:val="00BB2BC8"/>
    <w:rsid w:val="00C34691"/>
    <w:rsid w:val="00C427B0"/>
    <w:rsid w:val="00C77704"/>
    <w:rsid w:val="00D435A1"/>
    <w:rsid w:val="00D64137"/>
    <w:rsid w:val="00D85F4A"/>
    <w:rsid w:val="00DC5872"/>
    <w:rsid w:val="00DD236D"/>
    <w:rsid w:val="00E57272"/>
    <w:rsid w:val="00E90343"/>
    <w:rsid w:val="00EA066C"/>
    <w:rsid w:val="00EB195F"/>
    <w:rsid w:val="00FA2C07"/>
    <w:rsid w:val="00FF43C7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9129"/>
  <w15:chartTrackingRefBased/>
  <w15:docId w15:val="{627A76E5-1ABC-4454-A466-2A22306C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9A8"/>
    <w:pPr>
      <w:spacing w:after="22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77278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77278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77278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377278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77278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377278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377278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377278"/>
    <w:rPr>
      <w:rFonts w:ascii="Times New Roman" w:hAnsi="Times New Roman" w:cs="Times New Roman"/>
      <w:bCs/>
      <w:i/>
      <w:sz w:val="24"/>
      <w:szCs w:val="28"/>
      <w:lang w:eastAsia="da-DK"/>
    </w:rPr>
  </w:style>
  <w:style w:type="table" w:styleId="Tabel-Gitter">
    <w:name w:val="Table Grid"/>
    <w:basedOn w:val="Tabel-Normal"/>
    <w:uiPriority w:val="39"/>
    <w:rsid w:val="0073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369A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369A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572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apital@sktst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.skat.dk/data.aspx?oid=2287608&amp;chk=219338" TargetMode="External"/><Relationship Id="rId5" Type="http://schemas.openxmlformats.org/officeDocument/2006/relationships/hyperlink" Target="https://skat.dk/erhverv/ekapital/renter-indestaaende-og-gaeld-mv/indberetning-af-rente" TargetMode="External"/><Relationship Id="rId4" Type="http://schemas.openxmlformats.org/officeDocument/2006/relationships/hyperlink" Target="https://info.skat.dk/data.aspx?oid=228759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Bine Maj Samuelsen Hviid</dc:creator>
  <cp:keywords/>
  <dc:description/>
  <cp:lastModifiedBy>Bianca Cecilie Lindegaard</cp:lastModifiedBy>
  <cp:revision>2</cp:revision>
  <dcterms:created xsi:type="dcterms:W3CDTF">2023-11-13T12:01:00Z</dcterms:created>
  <dcterms:modified xsi:type="dcterms:W3CDTF">2023-11-13T12:01:00Z</dcterms:modified>
</cp:coreProperties>
</file>