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ECBE" w14:textId="2A2D4991" w:rsidR="00965F12" w:rsidRPr="00C10453" w:rsidRDefault="00965F12" w:rsidP="00965F12">
      <w:pPr>
        <w:pStyle w:val="Overskrift1"/>
        <w:spacing w:before="240"/>
        <w:jc w:val="both"/>
        <w:rPr>
          <w:b w:val="0"/>
          <w:color w:val="auto"/>
          <w:sz w:val="22"/>
        </w:rPr>
      </w:pPr>
      <w:r w:rsidRPr="00C10453">
        <w:rPr>
          <w:sz w:val="28"/>
          <w:szCs w:val="28"/>
        </w:rPr>
        <w:t xml:space="preserve">Erklæring fra uafhængig revisor vedrørende slutafregning af lønkompensation til virksomheder i </w:t>
      </w:r>
      <w:r>
        <w:rPr>
          <w:sz w:val="28"/>
          <w:szCs w:val="28"/>
        </w:rPr>
        <w:t>økonomisk krise som følge af COVID-19</w:t>
      </w:r>
      <w:r w:rsidRPr="00C10453">
        <w:rPr>
          <w:sz w:val="28"/>
          <w:szCs w:val="28"/>
        </w:rPr>
        <w:t xml:space="preserve"> </w:t>
      </w:r>
    </w:p>
    <w:p w14:paraId="72211D8C" w14:textId="77777777" w:rsidR="00965F12" w:rsidRDefault="00965F12" w:rsidP="00965F12">
      <w:pPr>
        <w:pStyle w:val="Brdtekst"/>
      </w:pPr>
    </w:p>
    <w:p w14:paraId="7B776C9B" w14:textId="09076AC5" w:rsidR="00965F12" w:rsidRPr="005E035C" w:rsidRDefault="00965F12" w:rsidP="00965F12">
      <w:pPr>
        <w:pStyle w:val="Brdtekst"/>
        <w:jc w:val="right"/>
        <w:rPr>
          <w:b/>
          <w:color w:val="00338D"/>
          <w:sz w:val="24"/>
          <w:szCs w:val="24"/>
        </w:rPr>
      </w:pPr>
      <w:r w:rsidRPr="005E035C">
        <w:rPr>
          <w:b/>
          <w:color w:val="00338D"/>
          <w:sz w:val="24"/>
          <w:szCs w:val="24"/>
        </w:rPr>
        <w:t xml:space="preserve">version af </w:t>
      </w:r>
      <w:r w:rsidR="00180E91">
        <w:rPr>
          <w:b/>
          <w:color w:val="00338D"/>
          <w:sz w:val="24"/>
          <w:szCs w:val="24"/>
        </w:rPr>
        <w:t>9</w:t>
      </w:r>
      <w:r>
        <w:rPr>
          <w:b/>
          <w:color w:val="00338D"/>
          <w:sz w:val="24"/>
          <w:szCs w:val="24"/>
        </w:rPr>
        <w:t xml:space="preserve">. </w:t>
      </w:r>
      <w:r w:rsidR="00DB4955">
        <w:rPr>
          <w:b/>
          <w:color w:val="00338D"/>
          <w:sz w:val="24"/>
          <w:szCs w:val="24"/>
        </w:rPr>
        <w:t>august</w:t>
      </w:r>
      <w:r>
        <w:rPr>
          <w:b/>
          <w:color w:val="00338D"/>
          <w:sz w:val="24"/>
          <w:szCs w:val="24"/>
        </w:rPr>
        <w:t xml:space="preserve"> </w:t>
      </w:r>
      <w:r w:rsidRPr="005E035C">
        <w:rPr>
          <w:b/>
          <w:color w:val="00338D"/>
          <w:sz w:val="24"/>
          <w:szCs w:val="24"/>
        </w:rPr>
        <w:t>202</w:t>
      </w:r>
      <w:r>
        <w:rPr>
          <w:b/>
          <w:color w:val="00338D"/>
          <w:sz w:val="24"/>
          <w:szCs w:val="24"/>
        </w:rPr>
        <w:t>2</w:t>
      </w:r>
    </w:p>
    <w:p w14:paraId="2F8E741D" w14:textId="77777777" w:rsidR="00965F12" w:rsidRPr="005E035C" w:rsidRDefault="00965F12" w:rsidP="00965F12">
      <w:pPr>
        <w:pStyle w:val="Brdtekst"/>
        <w:rPr>
          <w:b/>
          <w:color w:val="00338D"/>
          <w:sz w:val="32"/>
        </w:rPr>
      </w:pPr>
    </w:p>
    <w:p w14:paraId="0709557B" w14:textId="77777777" w:rsidR="00965F12" w:rsidRDefault="00965F12" w:rsidP="00965F12">
      <w:pPr>
        <w:pStyle w:val="Overskrift3"/>
        <w:spacing w:before="240"/>
        <w:jc w:val="both"/>
      </w:pPr>
      <w:r>
        <w:t xml:space="preserve">Til </w:t>
      </w:r>
      <w:r w:rsidRPr="00362362">
        <w:t xml:space="preserve">Ledelsen i </w:t>
      </w:r>
      <w:r w:rsidRPr="00171D79">
        <w:rPr>
          <w:highlight w:val="yellow"/>
        </w:rPr>
        <w:t>[Virksomhed X</w:t>
      </w:r>
      <w:r w:rsidRPr="00362362">
        <w:t>] og</w:t>
      </w:r>
      <w:r>
        <w:t xml:space="preserve"> Erhvervsstyrelsen</w:t>
      </w:r>
    </w:p>
    <w:p w14:paraId="0C20F41A" w14:textId="77777777" w:rsidR="00965F12" w:rsidRDefault="00965F12" w:rsidP="00965F12">
      <w:pPr>
        <w:pStyle w:val="Brdtekst"/>
        <w:spacing w:before="0" w:after="0"/>
        <w:jc w:val="left"/>
        <w:rPr>
          <w:rFonts w:asciiTheme="minorHAnsi" w:hAnsiTheme="minorHAnsi" w:cstheme="minorHAnsi"/>
          <w:b/>
          <w:bCs/>
          <w:szCs w:val="22"/>
        </w:rPr>
      </w:pPr>
    </w:p>
    <w:p w14:paraId="6741478F" w14:textId="17F86FE5" w:rsidR="00965F12" w:rsidRPr="00707C81" w:rsidRDefault="00965F12" w:rsidP="00965F12">
      <w:pPr>
        <w:pStyle w:val="Brdtekst"/>
        <w:spacing w:before="0" w:after="0"/>
        <w:jc w:val="left"/>
        <w:rPr>
          <w:rFonts w:asciiTheme="minorHAnsi" w:hAnsiTheme="minorHAnsi" w:cstheme="minorHAnsi"/>
          <w:b/>
          <w:bCs/>
          <w:szCs w:val="22"/>
        </w:rPr>
      </w:pPr>
      <w:r w:rsidRPr="00707C81">
        <w:rPr>
          <w:rFonts w:asciiTheme="minorHAnsi" w:hAnsiTheme="minorHAnsi" w:cstheme="minorHAnsi"/>
          <w:b/>
          <w:bCs/>
          <w:szCs w:val="22"/>
        </w:rPr>
        <w:t>Formålet med denne erklæring om aftalte arbejdshandlinger og begrænsninger i anvendelse og distribution</w:t>
      </w:r>
    </w:p>
    <w:p w14:paraId="791880E2" w14:textId="6C799DDF" w:rsidR="000A0C67" w:rsidRPr="00707C81" w:rsidRDefault="00965F12" w:rsidP="000A0C67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707C81">
        <w:rPr>
          <w:rFonts w:asciiTheme="minorHAnsi" w:hAnsiTheme="minorHAnsi" w:cstheme="minorHAnsi"/>
          <w:szCs w:val="22"/>
        </w:rPr>
        <w:t xml:space="preserve">Formålet med vores erklæring er udelukkende at assistere </w:t>
      </w:r>
      <w:r>
        <w:rPr>
          <w:rFonts w:asciiTheme="minorHAnsi" w:hAnsiTheme="minorHAnsi" w:cstheme="minorHAnsi"/>
          <w:szCs w:val="22"/>
        </w:rPr>
        <w:t>Erhvervsstyrelsen</w:t>
      </w:r>
      <w:r w:rsidRPr="00707C81">
        <w:rPr>
          <w:rFonts w:asciiTheme="minorHAnsi" w:hAnsiTheme="minorHAnsi" w:cstheme="minorHAnsi"/>
          <w:szCs w:val="22"/>
        </w:rPr>
        <w:t xml:space="preserve"> med at vurdere, om [</w:t>
      </w:r>
      <w:r w:rsidRPr="00171D79">
        <w:rPr>
          <w:rFonts w:asciiTheme="minorHAnsi" w:hAnsiTheme="minorHAnsi" w:cstheme="minorHAnsi"/>
          <w:szCs w:val="22"/>
          <w:highlight w:val="yellow"/>
        </w:rPr>
        <w:t>virksomheden</w:t>
      </w:r>
      <w:r w:rsidRPr="00E75CBD">
        <w:rPr>
          <w:rFonts w:asciiTheme="minorHAnsi" w:hAnsiTheme="minorHAnsi" w:cstheme="minorHAnsi"/>
          <w:szCs w:val="22"/>
        </w:rPr>
        <w:t>]</w:t>
      </w:r>
      <w:r w:rsidRPr="006C09FD">
        <w:rPr>
          <w:rFonts w:asciiTheme="minorHAnsi" w:hAnsiTheme="minorHAnsi" w:cstheme="minorHAnsi"/>
          <w:szCs w:val="22"/>
        </w:rPr>
        <w:t>’s</w:t>
      </w:r>
      <w:r w:rsidRPr="00707C8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slutafregning</w:t>
      </w:r>
      <w:r w:rsidRPr="00895E0F">
        <w:rPr>
          <w:rFonts w:asciiTheme="minorHAnsi" w:hAnsiTheme="minorHAnsi" w:cstheme="minorHAnsi"/>
          <w:szCs w:val="22"/>
        </w:rPr>
        <w:t xml:space="preserve"> af modtaget kompensation</w:t>
      </w:r>
      <w:r>
        <w:rPr>
          <w:rFonts w:asciiTheme="minorHAnsi" w:hAnsiTheme="minorHAnsi" w:cstheme="minorHAnsi"/>
          <w:szCs w:val="22"/>
        </w:rPr>
        <w:t xml:space="preserve"> </w:t>
      </w:r>
      <w:r w:rsidR="00403FBB" w:rsidRPr="00895E0F">
        <w:rPr>
          <w:rFonts w:asciiTheme="minorHAnsi" w:hAnsiTheme="minorHAnsi" w:cstheme="minorHAnsi"/>
          <w:szCs w:val="22"/>
        </w:rPr>
        <w:t xml:space="preserve">opfylder betingelserne i </w:t>
      </w:r>
      <w:r w:rsidR="00403FBB" w:rsidRPr="00C10453">
        <w:rPr>
          <w:rFonts w:asciiTheme="minorHAnsi" w:eastAsiaTheme="minorHAnsi" w:hAnsiTheme="minorHAnsi" w:cstheme="minorHAnsi"/>
          <w:szCs w:val="22"/>
        </w:rPr>
        <w:t>»</w:t>
      </w:r>
      <w:r w:rsidR="00403FBB" w:rsidRPr="00895E0F">
        <w:rPr>
          <w:rFonts w:asciiTheme="minorHAnsi" w:hAnsiTheme="minorHAnsi" w:cstheme="minorHAnsi"/>
          <w:szCs w:val="22"/>
        </w:rPr>
        <w:t>bekendtgørelse om midlertidig og målrettet lønkompensation til virksomheder i økonomisk krise som følge af COVID-19</w:t>
      </w:r>
      <w:r w:rsidR="00403FBB" w:rsidRPr="00C10453">
        <w:rPr>
          <w:rFonts w:asciiTheme="minorHAnsi" w:eastAsiaTheme="minorHAnsi" w:hAnsiTheme="minorHAnsi" w:cstheme="minorHAnsi"/>
          <w:szCs w:val="22"/>
        </w:rPr>
        <w:t xml:space="preserve">« nr. </w:t>
      </w:r>
      <w:r w:rsidR="00403FBB">
        <w:rPr>
          <w:rFonts w:asciiTheme="minorHAnsi" w:eastAsiaTheme="minorHAnsi" w:hAnsiTheme="minorHAnsi" w:cstheme="minorHAnsi"/>
          <w:szCs w:val="22"/>
        </w:rPr>
        <w:t>1579</w:t>
      </w:r>
      <w:r w:rsidR="00403FBB" w:rsidRPr="00C10453">
        <w:rPr>
          <w:rFonts w:asciiTheme="minorHAnsi" w:eastAsiaTheme="minorHAnsi" w:hAnsiTheme="minorHAnsi" w:cstheme="minorHAnsi"/>
          <w:szCs w:val="22"/>
        </w:rPr>
        <w:t>.</w:t>
      </w:r>
      <w:r w:rsidR="00403FBB">
        <w:rPr>
          <w:rFonts w:asciiTheme="minorHAnsi" w:eastAsiaTheme="minorHAnsi" w:hAnsiTheme="minorHAnsi" w:cstheme="minorHAnsi"/>
          <w:szCs w:val="22"/>
        </w:rPr>
        <w:t xml:space="preserve"> af 27. juni</w:t>
      </w:r>
      <w:r w:rsidR="00403FBB" w:rsidRPr="00C10453">
        <w:rPr>
          <w:rFonts w:asciiTheme="minorHAnsi" w:eastAsiaTheme="minorHAnsi" w:hAnsiTheme="minorHAnsi" w:cstheme="minorHAnsi"/>
          <w:szCs w:val="22"/>
        </w:rPr>
        <w:t xml:space="preserve"> </w:t>
      </w:r>
      <w:r w:rsidR="00403FBB">
        <w:rPr>
          <w:rFonts w:asciiTheme="minorHAnsi" w:eastAsiaTheme="minorHAnsi" w:hAnsiTheme="minorHAnsi" w:cstheme="minorHAnsi"/>
          <w:szCs w:val="22"/>
        </w:rPr>
        <w:t>2021</w:t>
      </w:r>
      <w:r w:rsidR="00403FBB" w:rsidRPr="00895E0F">
        <w:rPr>
          <w:rFonts w:asciiTheme="minorHAnsi" w:hAnsiTheme="minorHAnsi" w:cstheme="minorHAnsi"/>
          <w:szCs w:val="22"/>
        </w:rPr>
        <w:t xml:space="preserve">, </w:t>
      </w:r>
      <w:r w:rsidR="00403FBB" w:rsidRPr="00C10453">
        <w:rPr>
          <w:rFonts w:asciiTheme="minorHAnsi" w:eastAsiaTheme="minorHAnsi" w:hAnsiTheme="minorHAnsi" w:cstheme="minorHAnsi"/>
          <w:szCs w:val="22"/>
        </w:rPr>
        <w:t>»</w:t>
      </w:r>
      <w:r w:rsidR="00294ED6">
        <w:rPr>
          <w:rFonts w:asciiTheme="minorHAnsi" w:eastAsiaTheme="minorHAnsi" w:hAnsiTheme="minorHAnsi" w:cstheme="minorHAnsi"/>
          <w:szCs w:val="22"/>
        </w:rPr>
        <w:t>b</w:t>
      </w:r>
      <w:r w:rsidR="00294ED6" w:rsidRPr="00992B38">
        <w:rPr>
          <w:rFonts w:asciiTheme="minorHAnsi" w:eastAsiaTheme="minorHAnsi" w:hAnsiTheme="minorHAnsi" w:cstheme="minorHAnsi"/>
          <w:szCs w:val="22"/>
        </w:rPr>
        <w:t xml:space="preserve">ekendtgørelse </w:t>
      </w:r>
      <w:r w:rsidR="00403FBB" w:rsidRPr="00992B38">
        <w:rPr>
          <w:rFonts w:asciiTheme="minorHAnsi" w:eastAsiaTheme="minorHAnsi" w:hAnsiTheme="minorHAnsi" w:cstheme="minorHAnsi"/>
          <w:szCs w:val="22"/>
        </w:rPr>
        <w:t>om en midlertidig lokal lønkompensationsordning til virksomheder i økonomisk krise som følge af COVID-19</w:t>
      </w:r>
      <w:r w:rsidR="00403FBB" w:rsidRPr="00C10453">
        <w:rPr>
          <w:rFonts w:asciiTheme="minorHAnsi" w:eastAsiaTheme="minorHAnsi" w:hAnsiTheme="minorHAnsi" w:cstheme="minorHAnsi"/>
          <w:szCs w:val="22"/>
        </w:rPr>
        <w:t>«</w:t>
      </w:r>
      <w:r w:rsidR="00403FBB">
        <w:rPr>
          <w:rFonts w:asciiTheme="minorHAnsi" w:eastAsiaTheme="minorHAnsi" w:hAnsiTheme="minorHAnsi" w:cstheme="minorHAnsi"/>
          <w:szCs w:val="22"/>
        </w:rPr>
        <w:t xml:space="preserve"> </w:t>
      </w:r>
      <w:r w:rsidR="00403FBB" w:rsidRPr="0060294C">
        <w:rPr>
          <w:rFonts w:asciiTheme="minorHAnsi" w:eastAsiaTheme="minorHAnsi" w:hAnsiTheme="minorHAnsi" w:cstheme="minorHAnsi"/>
          <w:szCs w:val="22"/>
        </w:rPr>
        <w:t>nr</w:t>
      </w:r>
      <w:r w:rsidR="00403FBB">
        <w:rPr>
          <w:rFonts w:asciiTheme="minorHAnsi" w:eastAsiaTheme="minorHAnsi" w:hAnsiTheme="minorHAnsi" w:cstheme="minorHAnsi"/>
          <w:szCs w:val="22"/>
        </w:rPr>
        <w:t>.</w:t>
      </w:r>
      <w:r w:rsidR="00403FBB" w:rsidRPr="0060294C">
        <w:rPr>
          <w:rFonts w:asciiTheme="minorHAnsi" w:eastAsiaTheme="minorHAnsi" w:hAnsiTheme="minorHAnsi" w:cstheme="minorHAnsi"/>
          <w:szCs w:val="22"/>
        </w:rPr>
        <w:t xml:space="preserve"> 1772</w:t>
      </w:r>
      <w:r w:rsidR="00403FBB">
        <w:rPr>
          <w:rFonts w:asciiTheme="minorHAnsi" w:eastAsiaTheme="minorHAnsi" w:hAnsiTheme="minorHAnsi" w:cstheme="minorHAnsi"/>
          <w:szCs w:val="22"/>
        </w:rPr>
        <w:t>.</w:t>
      </w:r>
      <w:r w:rsidR="00403FBB" w:rsidRPr="0060294C">
        <w:rPr>
          <w:rFonts w:asciiTheme="minorHAnsi" w:eastAsiaTheme="minorHAnsi" w:hAnsiTheme="minorHAnsi" w:cstheme="minorHAnsi"/>
          <w:szCs w:val="22"/>
        </w:rPr>
        <w:t xml:space="preserve"> af 30</w:t>
      </w:r>
      <w:r w:rsidR="00403FBB">
        <w:rPr>
          <w:rFonts w:asciiTheme="minorHAnsi" w:eastAsiaTheme="minorHAnsi" w:hAnsiTheme="minorHAnsi" w:cstheme="minorHAnsi"/>
          <w:szCs w:val="22"/>
        </w:rPr>
        <w:t xml:space="preserve">. juni </w:t>
      </w:r>
      <w:r w:rsidR="00403FBB" w:rsidRPr="0060294C">
        <w:rPr>
          <w:rFonts w:asciiTheme="minorHAnsi" w:eastAsiaTheme="minorHAnsi" w:hAnsiTheme="minorHAnsi" w:cstheme="minorHAnsi"/>
          <w:szCs w:val="22"/>
        </w:rPr>
        <w:t>202</w:t>
      </w:r>
      <w:r w:rsidR="00403FBB">
        <w:rPr>
          <w:rFonts w:asciiTheme="minorHAnsi" w:eastAsiaTheme="minorHAnsi" w:hAnsiTheme="minorHAnsi" w:cstheme="minorHAnsi"/>
          <w:szCs w:val="22"/>
        </w:rPr>
        <w:t xml:space="preserve">1, </w:t>
      </w:r>
      <w:r w:rsidR="00403FBB" w:rsidRPr="00C10453">
        <w:rPr>
          <w:rFonts w:asciiTheme="minorHAnsi" w:eastAsiaTheme="minorHAnsi" w:hAnsiTheme="minorHAnsi" w:cstheme="minorHAnsi"/>
          <w:szCs w:val="22"/>
        </w:rPr>
        <w:t>»</w:t>
      </w:r>
      <w:r w:rsidR="00294ED6">
        <w:rPr>
          <w:rFonts w:asciiTheme="minorHAnsi" w:eastAsiaTheme="minorHAnsi" w:hAnsiTheme="minorHAnsi" w:cstheme="minorHAnsi"/>
          <w:szCs w:val="22"/>
        </w:rPr>
        <w:t>b</w:t>
      </w:r>
      <w:r w:rsidR="00294ED6" w:rsidRPr="004F5CE1">
        <w:rPr>
          <w:rFonts w:asciiTheme="minorHAnsi" w:eastAsiaTheme="minorHAnsi" w:hAnsiTheme="minorHAnsi" w:cstheme="minorHAnsi"/>
          <w:szCs w:val="22"/>
        </w:rPr>
        <w:t xml:space="preserve">ekendtgørelse </w:t>
      </w:r>
      <w:r w:rsidR="00403FBB" w:rsidRPr="004F5CE1">
        <w:rPr>
          <w:rFonts w:asciiTheme="minorHAnsi" w:eastAsiaTheme="minorHAnsi" w:hAnsiTheme="minorHAnsi" w:cstheme="minorHAnsi"/>
          <w:szCs w:val="22"/>
        </w:rPr>
        <w:t>om en midlertidig generel lønkompensationsordning fra december 2021 til januar 2022 til virksomheder i økonomisk krise som følge af COVID-19</w:t>
      </w:r>
      <w:r w:rsidR="00403FBB" w:rsidRPr="00C10453">
        <w:rPr>
          <w:rFonts w:asciiTheme="minorHAnsi" w:eastAsiaTheme="minorHAnsi" w:hAnsiTheme="minorHAnsi" w:cstheme="minorHAnsi"/>
          <w:szCs w:val="22"/>
        </w:rPr>
        <w:t>«</w:t>
      </w:r>
      <w:r w:rsidR="00403FBB">
        <w:rPr>
          <w:rFonts w:asciiTheme="minorHAnsi" w:eastAsiaTheme="minorHAnsi" w:hAnsiTheme="minorHAnsi" w:cstheme="minorHAnsi"/>
          <w:szCs w:val="22"/>
        </w:rPr>
        <w:t xml:space="preserve"> </w:t>
      </w:r>
      <w:r w:rsidR="00403FBB" w:rsidRPr="00AB5AF0">
        <w:rPr>
          <w:rFonts w:asciiTheme="minorHAnsi" w:eastAsiaTheme="minorHAnsi" w:hAnsiTheme="minorHAnsi" w:cstheme="minorHAnsi"/>
          <w:szCs w:val="22"/>
        </w:rPr>
        <w:t>nr</w:t>
      </w:r>
      <w:r w:rsidR="00403FBB">
        <w:rPr>
          <w:rFonts w:asciiTheme="minorHAnsi" w:eastAsiaTheme="minorHAnsi" w:hAnsiTheme="minorHAnsi" w:cstheme="minorHAnsi"/>
          <w:szCs w:val="22"/>
        </w:rPr>
        <w:t>.</w:t>
      </w:r>
      <w:r w:rsidR="00403FBB" w:rsidRPr="00AB5AF0">
        <w:rPr>
          <w:rFonts w:asciiTheme="minorHAnsi" w:eastAsiaTheme="minorHAnsi" w:hAnsiTheme="minorHAnsi" w:cstheme="minorHAnsi"/>
          <w:szCs w:val="22"/>
        </w:rPr>
        <w:t xml:space="preserve"> 2570 af 22</w:t>
      </w:r>
      <w:r w:rsidR="00403FBB">
        <w:rPr>
          <w:rFonts w:asciiTheme="minorHAnsi" w:eastAsiaTheme="minorHAnsi" w:hAnsiTheme="minorHAnsi" w:cstheme="minorHAnsi"/>
          <w:szCs w:val="22"/>
        </w:rPr>
        <w:t xml:space="preserve">. december </w:t>
      </w:r>
      <w:r w:rsidR="00403FBB" w:rsidRPr="00AB5AF0">
        <w:rPr>
          <w:rFonts w:asciiTheme="minorHAnsi" w:eastAsiaTheme="minorHAnsi" w:hAnsiTheme="minorHAnsi" w:cstheme="minorHAnsi"/>
          <w:szCs w:val="22"/>
        </w:rPr>
        <w:t>2021</w:t>
      </w:r>
      <w:r w:rsidR="00403FBB">
        <w:rPr>
          <w:rFonts w:asciiTheme="minorHAnsi" w:eastAsiaTheme="minorHAnsi" w:hAnsiTheme="minorHAnsi" w:cstheme="minorHAnsi"/>
          <w:szCs w:val="22"/>
        </w:rPr>
        <w:t xml:space="preserve"> samt</w:t>
      </w:r>
      <w:r w:rsidR="00403FBB" w:rsidRPr="00DD088F">
        <w:t xml:space="preserve"> </w:t>
      </w:r>
      <w:r w:rsidR="00403FBB" w:rsidRPr="00C10453">
        <w:rPr>
          <w:rFonts w:asciiTheme="minorHAnsi" w:eastAsiaTheme="minorHAnsi" w:hAnsiTheme="minorHAnsi" w:cstheme="minorHAnsi"/>
          <w:szCs w:val="22"/>
        </w:rPr>
        <w:t>»</w:t>
      </w:r>
      <w:r w:rsidR="00294ED6">
        <w:rPr>
          <w:rFonts w:asciiTheme="minorHAnsi" w:eastAsiaTheme="minorHAnsi" w:hAnsiTheme="minorHAnsi" w:cstheme="minorHAnsi"/>
          <w:szCs w:val="22"/>
        </w:rPr>
        <w:t>b</w:t>
      </w:r>
      <w:r w:rsidR="00294ED6" w:rsidRPr="00DD088F">
        <w:rPr>
          <w:rFonts w:asciiTheme="minorHAnsi" w:eastAsiaTheme="minorHAnsi" w:hAnsiTheme="minorHAnsi" w:cstheme="minorHAnsi"/>
          <w:szCs w:val="22"/>
        </w:rPr>
        <w:t xml:space="preserve">ekendtgørelse </w:t>
      </w:r>
      <w:r w:rsidR="00403FBB" w:rsidRPr="00DD088F">
        <w:rPr>
          <w:rFonts w:asciiTheme="minorHAnsi" w:eastAsiaTheme="minorHAnsi" w:hAnsiTheme="minorHAnsi" w:cstheme="minorHAnsi"/>
          <w:szCs w:val="22"/>
        </w:rPr>
        <w:t>om en målrettet lønkompensationsordning fra december 2021 til januar 2022 til virksomheder i økonomisk krise som følge af</w:t>
      </w:r>
      <w:r w:rsidR="00403FBB">
        <w:rPr>
          <w:rFonts w:asciiTheme="minorHAnsi" w:eastAsiaTheme="minorHAnsi" w:hAnsiTheme="minorHAnsi" w:cstheme="minorHAnsi"/>
          <w:szCs w:val="22"/>
        </w:rPr>
        <w:t xml:space="preserve"> COVID-19</w:t>
      </w:r>
      <w:r w:rsidR="00403FBB" w:rsidRPr="00C10453">
        <w:rPr>
          <w:rFonts w:asciiTheme="minorHAnsi" w:eastAsiaTheme="minorHAnsi" w:hAnsiTheme="minorHAnsi" w:cstheme="minorHAnsi"/>
          <w:szCs w:val="22"/>
        </w:rPr>
        <w:t>«</w:t>
      </w:r>
      <w:r w:rsidR="00403FBB">
        <w:rPr>
          <w:rFonts w:asciiTheme="minorHAnsi" w:eastAsiaTheme="minorHAnsi" w:hAnsiTheme="minorHAnsi" w:cstheme="minorHAnsi"/>
          <w:szCs w:val="22"/>
        </w:rPr>
        <w:t xml:space="preserve"> og tilhørende ændringsbekendtgørelser.</w:t>
      </w:r>
      <w:r w:rsidR="000A0C67">
        <w:rPr>
          <w:rFonts w:asciiTheme="minorHAnsi" w:eastAsiaTheme="minorHAnsi" w:hAnsiTheme="minorHAnsi" w:cstheme="minorHAnsi"/>
          <w:szCs w:val="22"/>
        </w:rPr>
        <w:t xml:space="preserve"> </w:t>
      </w:r>
      <w:r w:rsidR="000A0C67">
        <w:rPr>
          <w:rFonts w:asciiTheme="minorHAnsi" w:hAnsiTheme="minorHAnsi" w:cstheme="minorHAnsi"/>
          <w:szCs w:val="22"/>
        </w:rPr>
        <w:t>E</w:t>
      </w:r>
      <w:r w:rsidR="000A0C67" w:rsidRPr="00707C81">
        <w:rPr>
          <w:rFonts w:asciiTheme="minorHAnsi" w:hAnsiTheme="minorHAnsi" w:cstheme="minorHAnsi"/>
          <w:szCs w:val="22"/>
        </w:rPr>
        <w:t xml:space="preserve">rklæringen kan være uegnet til andet formål. </w:t>
      </w:r>
    </w:p>
    <w:p w14:paraId="3C154401" w14:textId="1798665C" w:rsidR="000A0C67" w:rsidRPr="00707C81" w:rsidRDefault="000A0C67" w:rsidP="000A0C67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EB7927">
        <w:rPr>
          <w:rFonts w:asciiTheme="minorHAnsi" w:hAnsiTheme="minorHAnsi" w:cstheme="minorHAnsi"/>
          <w:szCs w:val="22"/>
        </w:rPr>
        <w:t>Denne erklæring er alene tiltænkt [</w:t>
      </w:r>
      <w:r w:rsidRPr="009F60F3">
        <w:rPr>
          <w:rFonts w:asciiTheme="minorHAnsi" w:hAnsiTheme="minorHAnsi" w:cstheme="minorHAnsi"/>
          <w:szCs w:val="22"/>
          <w:highlight w:val="yellow"/>
        </w:rPr>
        <w:t>virksomheden</w:t>
      </w:r>
      <w:r w:rsidRPr="00EB7927">
        <w:rPr>
          <w:rFonts w:asciiTheme="minorHAnsi" w:hAnsiTheme="minorHAnsi" w:cstheme="minorHAnsi"/>
          <w:szCs w:val="22"/>
        </w:rPr>
        <w:t>] og Erhvervsstyrelsen og må ikke anvendes af eller distribueres til andre parter.</w:t>
      </w:r>
    </w:p>
    <w:p w14:paraId="15A20504" w14:textId="16DEB567" w:rsidR="0060752B" w:rsidRDefault="007E2DE4" w:rsidP="00965F12">
      <w:pPr>
        <w:spacing w:before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</w:r>
      <w:r w:rsidR="0071798F">
        <w:rPr>
          <w:rFonts w:asciiTheme="minorHAnsi" w:hAnsiTheme="minorHAnsi" w:cstheme="minorHAnsi"/>
          <w:szCs w:val="22"/>
        </w:rPr>
        <w:t xml:space="preserve">Erklæringen omfatter følgende perioder hvor virksomheden har modtaget kompensation </w:t>
      </w:r>
    </w:p>
    <w:p w14:paraId="25628B7E" w14:textId="65EB7986" w:rsidR="00784619" w:rsidRDefault="00391E12" w:rsidP="00965F12">
      <w:pPr>
        <w:spacing w:before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/>
      </w:r>
      <w:r w:rsidR="00361063">
        <w:rPr>
          <w:rFonts w:asciiTheme="minorHAnsi" w:hAnsiTheme="minorHAnsi" w:cstheme="minorHAnsi"/>
          <w:szCs w:val="22"/>
        </w:rPr>
        <w:t xml:space="preserve">Arbejdshandling 1 – </w:t>
      </w:r>
      <w:r w:rsidR="0037514A">
        <w:rPr>
          <w:rFonts w:asciiTheme="minorHAnsi" w:hAnsiTheme="minorHAnsi" w:cstheme="minorHAnsi"/>
          <w:szCs w:val="22"/>
        </w:rPr>
        <w:t>6</w:t>
      </w:r>
      <w:r w:rsidR="00361063">
        <w:rPr>
          <w:rFonts w:asciiTheme="minorHAnsi" w:hAnsiTheme="minorHAnsi" w:cstheme="minorHAnsi"/>
          <w:szCs w:val="22"/>
        </w:rPr>
        <w:t>:</w:t>
      </w:r>
      <w:r w:rsidR="003F2B6E">
        <w:rPr>
          <w:rFonts w:asciiTheme="minorHAnsi" w:hAnsiTheme="minorHAnsi" w:cstheme="minorHAnsi"/>
          <w:szCs w:val="22"/>
        </w:rPr>
        <w:br/>
      </w:r>
      <w:r w:rsidR="00965F12">
        <w:rPr>
          <w:rFonts w:asciiTheme="minorHAnsi" w:hAnsiTheme="minorHAnsi" w:cstheme="minorHAnsi"/>
          <w:szCs w:val="22"/>
        </w:rPr>
        <w:t>[</w:t>
      </w:r>
      <w:proofErr w:type="spellStart"/>
      <w:r w:rsidR="00965F12">
        <w:rPr>
          <w:rFonts w:asciiTheme="minorHAnsi" w:hAnsiTheme="minorHAnsi" w:cstheme="minorHAnsi"/>
          <w:szCs w:val="22"/>
        </w:rPr>
        <w:t>dd.mm.åååå</w:t>
      </w:r>
      <w:proofErr w:type="spellEnd"/>
      <w:r w:rsidR="00965F12">
        <w:rPr>
          <w:rFonts w:asciiTheme="minorHAnsi" w:hAnsiTheme="minorHAnsi" w:cstheme="minorHAnsi"/>
          <w:szCs w:val="22"/>
        </w:rPr>
        <w:t xml:space="preserve"> - </w:t>
      </w:r>
      <w:proofErr w:type="spellStart"/>
      <w:r w:rsidR="00965F12">
        <w:rPr>
          <w:rFonts w:asciiTheme="minorHAnsi" w:hAnsiTheme="minorHAnsi" w:cstheme="minorHAnsi"/>
          <w:szCs w:val="22"/>
        </w:rPr>
        <w:t>dd.mm.åååå</w:t>
      </w:r>
      <w:proofErr w:type="spellEnd"/>
      <w:r w:rsidR="00965F12">
        <w:rPr>
          <w:rFonts w:asciiTheme="minorHAnsi" w:hAnsiTheme="minorHAnsi" w:cstheme="minorHAnsi"/>
          <w:szCs w:val="22"/>
        </w:rPr>
        <w:t>]</w:t>
      </w:r>
    </w:p>
    <w:p w14:paraId="0AC1A9D0" w14:textId="77777777" w:rsidR="00FA02A2" w:rsidRDefault="00FA02A2" w:rsidP="00965F12">
      <w:pPr>
        <w:spacing w:before="120" w:line="280" w:lineRule="exact"/>
        <w:rPr>
          <w:rFonts w:asciiTheme="minorHAnsi" w:hAnsiTheme="minorHAnsi" w:cstheme="minorHAnsi"/>
          <w:szCs w:val="22"/>
        </w:rPr>
      </w:pPr>
    </w:p>
    <w:p w14:paraId="7E474D37" w14:textId="259CC86C" w:rsidR="00C933C4" w:rsidRDefault="00361063" w:rsidP="00965F12">
      <w:pPr>
        <w:spacing w:before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Arbejdshandling 7</w:t>
      </w:r>
      <w:r w:rsidR="00495F26">
        <w:rPr>
          <w:rFonts w:asciiTheme="minorHAnsi" w:hAnsiTheme="minorHAnsi" w:cstheme="minorHAnsi"/>
          <w:szCs w:val="22"/>
        </w:rPr>
        <w:t xml:space="preserve"> (perioder </w:t>
      </w:r>
      <w:r w:rsidR="00C379BD">
        <w:rPr>
          <w:rFonts w:asciiTheme="minorHAnsi" w:hAnsiTheme="minorHAnsi" w:cstheme="minorHAnsi"/>
          <w:szCs w:val="22"/>
        </w:rPr>
        <w:t xml:space="preserve">uden omsætning der hidrør </w:t>
      </w:r>
      <w:r w:rsidR="006766C3">
        <w:rPr>
          <w:rFonts w:asciiTheme="minorHAnsi" w:hAnsiTheme="minorHAnsi" w:cstheme="minorHAnsi"/>
          <w:szCs w:val="22"/>
        </w:rPr>
        <w:t xml:space="preserve">fra </w:t>
      </w:r>
      <w:r w:rsidR="00C379BD">
        <w:rPr>
          <w:rFonts w:asciiTheme="minorHAnsi" w:hAnsiTheme="minorHAnsi" w:cstheme="minorHAnsi"/>
          <w:szCs w:val="22"/>
        </w:rPr>
        <w:t>salg</w:t>
      </w:r>
      <w:r w:rsidR="006766C3">
        <w:rPr>
          <w:rFonts w:asciiTheme="minorHAnsi" w:hAnsiTheme="minorHAnsi" w:cstheme="minorHAnsi"/>
          <w:szCs w:val="22"/>
        </w:rPr>
        <w:t xml:space="preserve"> af vare og tjenesteydelser)</w:t>
      </w:r>
      <w:r>
        <w:rPr>
          <w:rFonts w:asciiTheme="minorHAnsi" w:hAnsiTheme="minorHAnsi" w:cstheme="minorHAnsi"/>
          <w:szCs w:val="22"/>
        </w:rPr>
        <w:t>:</w:t>
      </w:r>
      <w:r w:rsidR="003F2B6E">
        <w:rPr>
          <w:rFonts w:asciiTheme="minorHAnsi" w:hAnsiTheme="minorHAnsi" w:cstheme="minorHAnsi"/>
          <w:szCs w:val="22"/>
        </w:rPr>
        <w:br/>
      </w:r>
      <w:r w:rsidR="00D048BF">
        <w:rPr>
          <w:rFonts w:asciiTheme="minorHAnsi" w:hAnsiTheme="minorHAnsi" w:cstheme="minorHAnsi"/>
          <w:szCs w:val="22"/>
        </w:rPr>
        <w:t>[</w:t>
      </w:r>
      <w:proofErr w:type="spellStart"/>
      <w:r w:rsidR="00D048BF">
        <w:rPr>
          <w:rFonts w:asciiTheme="minorHAnsi" w:hAnsiTheme="minorHAnsi" w:cstheme="minorHAnsi"/>
          <w:szCs w:val="22"/>
        </w:rPr>
        <w:t>dd.mm.åååå</w:t>
      </w:r>
      <w:proofErr w:type="spellEnd"/>
      <w:r w:rsidR="00D048BF">
        <w:rPr>
          <w:rFonts w:asciiTheme="minorHAnsi" w:hAnsiTheme="minorHAnsi" w:cstheme="minorHAnsi"/>
          <w:szCs w:val="22"/>
        </w:rPr>
        <w:t xml:space="preserve"> - </w:t>
      </w:r>
      <w:proofErr w:type="spellStart"/>
      <w:r w:rsidR="00D048BF">
        <w:rPr>
          <w:rFonts w:asciiTheme="minorHAnsi" w:hAnsiTheme="minorHAnsi" w:cstheme="minorHAnsi"/>
          <w:szCs w:val="22"/>
        </w:rPr>
        <w:t>dd.mm.åååå</w:t>
      </w:r>
      <w:proofErr w:type="spellEnd"/>
      <w:r w:rsidR="00D048BF">
        <w:rPr>
          <w:rFonts w:asciiTheme="minorHAnsi" w:hAnsiTheme="minorHAnsi" w:cstheme="minorHAnsi"/>
          <w:szCs w:val="22"/>
        </w:rPr>
        <w:t>]</w:t>
      </w:r>
      <w:r w:rsidR="00D048BF">
        <w:rPr>
          <w:rFonts w:asciiTheme="minorHAnsi" w:hAnsiTheme="minorHAnsi" w:cstheme="minorHAnsi"/>
          <w:szCs w:val="22"/>
        </w:rPr>
        <w:br/>
        <w:t>[</w:t>
      </w:r>
      <w:proofErr w:type="spellStart"/>
      <w:r w:rsidR="00D048BF">
        <w:rPr>
          <w:rFonts w:asciiTheme="minorHAnsi" w:hAnsiTheme="minorHAnsi" w:cstheme="minorHAnsi"/>
          <w:szCs w:val="22"/>
        </w:rPr>
        <w:t>dd.mm.åååå</w:t>
      </w:r>
      <w:proofErr w:type="spellEnd"/>
      <w:r w:rsidR="00D048BF">
        <w:rPr>
          <w:rFonts w:asciiTheme="minorHAnsi" w:hAnsiTheme="minorHAnsi" w:cstheme="minorHAnsi"/>
          <w:szCs w:val="22"/>
        </w:rPr>
        <w:t xml:space="preserve"> - </w:t>
      </w:r>
      <w:proofErr w:type="spellStart"/>
      <w:r w:rsidR="00D048BF">
        <w:rPr>
          <w:rFonts w:asciiTheme="minorHAnsi" w:hAnsiTheme="minorHAnsi" w:cstheme="minorHAnsi"/>
          <w:szCs w:val="22"/>
        </w:rPr>
        <w:t>dd.mm.åååå</w:t>
      </w:r>
      <w:proofErr w:type="spellEnd"/>
      <w:r w:rsidR="00D048BF">
        <w:rPr>
          <w:rFonts w:asciiTheme="minorHAnsi" w:hAnsiTheme="minorHAnsi" w:cstheme="minorHAnsi"/>
          <w:szCs w:val="22"/>
        </w:rPr>
        <w:t>]</w:t>
      </w:r>
      <w:r w:rsidR="00784619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[</w:t>
      </w:r>
      <w:proofErr w:type="spellStart"/>
      <w:r>
        <w:rPr>
          <w:rFonts w:asciiTheme="minorHAnsi" w:hAnsiTheme="minorHAnsi" w:cstheme="minorHAnsi"/>
          <w:szCs w:val="22"/>
        </w:rPr>
        <w:t>dd.mm.åååå</w:t>
      </w:r>
      <w:proofErr w:type="spellEnd"/>
      <w:r>
        <w:rPr>
          <w:rFonts w:asciiTheme="minorHAnsi" w:hAnsiTheme="minorHAnsi" w:cstheme="minorHAnsi"/>
          <w:szCs w:val="22"/>
        </w:rPr>
        <w:t xml:space="preserve"> - </w:t>
      </w:r>
      <w:proofErr w:type="spellStart"/>
      <w:r>
        <w:rPr>
          <w:rFonts w:asciiTheme="minorHAnsi" w:hAnsiTheme="minorHAnsi" w:cstheme="minorHAnsi"/>
          <w:szCs w:val="22"/>
        </w:rPr>
        <w:t>dd.mm.åååå</w:t>
      </w:r>
      <w:proofErr w:type="spellEnd"/>
      <w:r>
        <w:rPr>
          <w:rFonts w:asciiTheme="minorHAnsi" w:hAnsiTheme="minorHAnsi" w:cstheme="minorHAnsi"/>
          <w:szCs w:val="22"/>
        </w:rPr>
        <w:t>]</w:t>
      </w:r>
      <w:r>
        <w:rPr>
          <w:rFonts w:asciiTheme="minorHAnsi" w:hAnsiTheme="minorHAnsi" w:cstheme="minorHAnsi"/>
          <w:szCs w:val="22"/>
        </w:rPr>
        <w:br/>
        <w:t>[</w:t>
      </w:r>
      <w:proofErr w:type="spellStart"/>
      <w:r>
        <w:rPr>
          <w:rFonts w:asciiTheme="minorHAnsi" w:hAnsiTheme="minorHAnsi" w:cstheme="minorHAnsi"/>
          <w:szCs w:val="22"/>
        </w:rPr>
        <w:t>dd.mm.åååå</w:t>
      </w:r>
      <w:proofErr w:type="spellEnd"/>
      <w:r>
        <w:rPr>
          <w:rFonts w:asciiTheme="minorHAnsi" w:hAnsiTheme="minorHAnsi" w:cstheme="minorHAnsi"/>
          <w:szCs w:val="22"/>
        </w:rPr>
        <w:t xml:space="preserve"> - </w:t>
      </w:r>
      <w:proofErr w:type="spellStart"/>
      <w:r>
        <w:rPr>
          <w:rFonts w:asciiTheme="minorHAnsi" w:hAnsiTheme="minorHAnsi" w:cstheme="minorHAnsi"/>
          <w:szCs w:val="22"/>
        </w:rPr>
        <w:t>dd.mm.åååå</w:t>
      </w:r>
      <w:proofErr w:type="spellEnd"/>
      <w:r>
        <w:rPr>
          <w:rFonts w:asciiTheme="minorHAnsi" w:hAnsiTheme="minorHAnsi" w:cstheme="minorHAnsi"/>
          <w:szCs w:val="22"/>
        </w:rPr>
        <w:t>]</w:t>
      </w:r>
      <w:r>
        <w:rPr>
          <w:rFonts w:asciiTheme="minorHAnsi" w:hAnsiTheme="minorHAnsi" w:cstheme="minorHAnsi"/>
          <w:szCs w:val="22"/>
        </w:rPr>
        <w:br/>
      </w:r>
      <w:r w:rsidR="00D048BF">
        <w:rPr>
          <w:rFonts w:asciiTheme="minorHAnsi" w:hAnsiTheme="minorHAnsi" w:cstheme="minorHAnsi"/>
          <w:szCs w:val="22"/>
        </w:rPr>
        <w:br/>
      </w:r>
      <w:r w:rsidR="00C933C4">
        <w:rPr>
          <w:rFonts w:asciiTheme="minorHAnsi" w:hAnsiTheme="minorHAnsi" w:cstheme="minorHAnsi"/>
          <w:szCs w:val="22"/>
        </w:rPr>
        <w:t>Arbejdshandling 101 og 102</w:t>
      </w:r>
      <w:r w:rsidR="001036D8">
        <w:rPr>
          <w:rFonts w:asciiTheme="minorHAnsi" w:hAnsiTheme="minorHAnsi" w:cstheme="minorHAnsi"/>
          <w:szCs w:val="22"/>
        </w:rPr>
        <w:t xml:space="preserve"> (opsparede løndele)</w:t>
      </w:r>
      <w:r w:rsidR="00C933C4">
        <w:rPr>
          <w:rFonts w:asciiTheme="minorHAnsi" w:hAnsiTheme="minorHAnsi" w:cstheme="minorHAnsi"/>
          <w:szCs w:val="22"/>
        </w:rPr>
        <w:t>:</w:t>
      </w:r>
      <w:r w:rsidR="00C933C4">
        <w:rPr>
          <w:rFonts w:asciiTheme="minorHAnsi" w:hAnsiTheme="minorHAnsi" w:cstheme="minorHAnsi"/>
          <w:szCs w:val="22"/>
        </w:rPr>
        <w:br/>
        <w:t>[</w:t>
      </w:r>
      <w:proofErr w:type="spellStart"/>
      <w:r w:rsidR="00C933C4">
        <w:rPr>
          <w:rFonts w:asciiTheme="minorHAnsi" w:hAnsiTheme="minorHAnsi" w:cstheme="minorHAnsi"/>
          <w:szCs w:val="22"/>
        </w:rPr>
        <w:t>dd.mm.åååå</w:t>
      </w:r>
      <w:proofErr w:type="spellEnd"/>
      <w:r w:rsidR="00C933C4">
        <w:rPr>
          <w:rFonts w:asciiTheme="minorHAnsi" w:hAnsiTheme="minorHAnsi" w:cstheme="minorHAnsi"/>
          <w:szCs w:val="22"/>
        </w:rPr>
        <w:t xml:space="preserve"> - </w:t>
      </w:r>
      <w:proofErr w:type="spellStart"/>
      <w:r w:rsidR="00C933C4">
        <w:rPr>
          <w:rFonts w:asciiTheme="minorHAnsi" w:hAnsiTheme="minorHAnsi" w:cstheme="minorHAnsi"/>
          <w:szCs w:val="22"/>
        </w:rPr>
        <w:t>dd.mm.åååå</w:t>
      </w:r>
      <w:proofErr w:type="spellEnd"/>
      <w:r w:rsidR="00C933C4">
        <w:rPr>
          <w:rFonts w:asciiTheme="minorHAnsi" w:hAnsiTheme="minorHAnsi" w:cstheme="minorHAnsi"/>
          <w:szCs w:val="22"/>
        </w:rPr>
        <w:t>]</w:t>
      </w:r>
      <w:r w:rsidR="00C933C4">
        <w:rPr>
          <w:rFonts w:asciiTheme="minorHAnsi" w:hAnsiTheme="minorHAnsi" w:cstheme="minorHAnsi"/>
          <w:szCs w:val="22"/>
        </w:rPr>
        <w:br/>
        <w:t>[</w:t>
      </w:r>
      <w:proofErr w:type="spellStart"/>
      <w:r w:rsidR="00C933C4">
        <w:rPr>
          <w:rFonts w:asciiTheme="minorHAnsi" w:hAnsiTheme="minorHAnsi" w:cstheme="minorHAnsi"/>
          <w:szCs w:val="22"/>
        </w:rPr>
        <w:t>dd.mm.åååå</w:t>
      </w:r>
      <w:proofErr w:type="spellEnd"/>
      <w:r w:rsidR="00C933C4">
        <w:rPr>
          <w:rFonts w:asciiTheme="minorHAnsi" w:hAnsiTheme="minorHAnsi" w:cstheme="minorHAnsi"/>
          <w:szCs w:val="22"/>
        </w:rPr>
        <w:t xml:space="preserve"> - </w:t>
      </w:r>
      <w:proofErr w:type="spellStart"/>
      <w:r w:rsidR="00C933C4">
        <w:rPr>
          <w:rFonts w:asciiTheme="minorHAnsi" w:hAnsiTheme="minorHAnsi" w:cstheme="minorHAnsi"/>
          <w:szCs w:val="22"/>
        </w:rPr>
        <w:t>dd.mm.åååå</w:t>
      </w:r>
      <w:proofErr w:type="spellEnd"/>
      <w:r w:rsidR="00C933C4">
        <w:rPr>
          <w:rFonts w:asciiTheme="minorHAnsi" w:hAnsiTheme="minorHAnsi" w:cstheme="minorHAnsi"/>
          <w:szCs w:val="22"/>
        </w:rPr>
        <w:t>]</w:t>
      </w:r>
      <w:r w:rsidR="00C933C4">
        <w:rPr>
          <w:rFonts w:asciiTheme="minorHAnsi" w:hAnsiTheme="minorHAnsi" w:cstheme="minorHAnsi"/>
          <w:szCs w:val="22"/>
        </w:rPr>
        <w:br/>
      </w:r>
    </w:p>
    <w:p w14:paraId="6E1B6DBC" w14:textId="77777777" w:rsidR="00AC22BB" w:rsidRDefault="00AC22BB" w:rsidP="00965F12">
      <w:pPr>
        <w:spacing w:before="120" w:line="28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Arbejdshandlingerne omfatter følgende af virksomhedens p-enheder: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9"/>
      </w:tblGrid>
      <w:tr w:rsidR="00ED4BC7" w14:paraId="195C2142" w14:textId="77777777" w:rsidTr="00ED4BC7">
        <w:tc>
          <w:tcPr>
            <w:tcW w:w="3058" w:type="dxa"/>
          </w:tcPr>
          <w:p w14:paraId="558D6DB8" w14:textId="6082D568" w:rsidR="00ED4BC7" w:rsidRDefault="004A1368" w:rsidP="00965F12">
            <w:pPr>
              <w:spacing w:before="120" w:line="280" w:lineRule="exac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P-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nummer</w:t>
            </w:r>
            <w:proofErr w:type="spellEnd"/>
          </w:p>
        </w:tc>
        <w:tc>
          <w:tcPr>
            <w:tcW w:w="3058" w:type="dxa"/>
          </w:tcPr>
          <w:p w14:paraId="2DB71C50" w14:textId="63BE60F5" w:rsidR="00ED4BC7" w:rsidRDefault="004A1368" w:rsidP="00965F12">
            <w:pPr>
              <w:spacing w:before="120" w:line="280" w:lineRule="exact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Navn</w:t>
            </w:r>
            <w:proofErr w:type="spellEnd"/>
          </w:p>
        </w:tc>
        <w:tc>
          <w:tcPr>
            <w:tcW w:w="3059" w:type="dxa"/>
          </w:tcPr>
          <w:p w14:paraId="64C5F530" w14:textId="599E2DF3" w:rsidR="004A1368" w:rsidRDefault="004A1368" w:rsidP="00965F12">
            <w:pPr>
              <w:spacing w:before="120" w:line="280" w:lineRule="exact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Adresse</w:t>
            </w:r>
            <w:proofErr w:type="spellEnd"/>
          </w:p>
        </w:tc>
      </w:tr>
      <w:tr w:rsidR="004A1368" w14:paraId="471AA34C" w14:textId="77777777" w:rsidTr="00ED4BC7">
        <w:tc>
          <w:tcPr>
            <w:tcW w:w="3058" w:type="dxa"/>
          </w:tcPr>
          <w:p w14:paraId="7D15FF43" w14:textId="73E4C4E6" w:rsidR="004A1368" w:rsidRDefault="00905356" w:rsidP="00965F12">
            <w:pPr>
              <w:spacing w:before="120" w:line="280" w:lineRule="exact"/>
              <w:rPr>
                <w:rFonts w:asciiTheme="minorHAnsi" w:hAnsiTheme="minorHAnsi" w:cstheme="minorHAnsi"/>
                <w:szCs w:val="22"/>
              </w:rPr>
            </w:pPr>
            <w:r w:rsidRPr="00905356">
              <w:rPr>
                <w:rFonts w:asciiTheme="minorHAnsi" w:hAnsiTheme="minorHAnsi" w:cstheme="minorHAnsi"/>
                <w:szCs w:val="22"/>
              </w:rPr>
              <w:t>1014092532</w:t>
            </w:r>
          </w:p>
        </w:tc>
        <w:tc>
          <w:tcPr>
            <w:tcW w:w="3058" w:type="dxa"/>
          </w:tcPr>
          <w:p w14:paraId="4FEEA85F" w14:textId="4FF9CA90" w:rsidR="004A1368" w:rsidRDefault="00905356" w:rsidP="00965F12">
            <w:pPr>
              <w:spacing w:before="120" w:line="280" w:lineRule="exact"/>
              <w:rPr>
                <w:rFonts w:asciiTheme="minorHAnsi" w:hAnsiTheme="minorHAnsi" w:cstheme="minorHAnsi"/>
                <w:szCs w:val="22"/>
              </w:rPr>
            </w:pPr>
            <w:r w:rsidRPr="00905356">
              <w:rPr>
                <w:rFonts w:asciiTheme="minorHAnsi" w:hAnsiTheme="minorHAnsi" w:cstheme="minorHAnsi"/>
                <w:szCs w:val="22"/>
              </w:rPr>
              <w:t>DSB 7-Eleven Aalborg</w:t>
            </w:r>
          </w:p>
        </w:tc>
        <w:tc>
          <w:tcPr>
            <w:tcW w:w="3059" w:type="dxa"/>
          </w:tcPr>
          <w:p w14:paraId="11BE283F" w14:textId="568A1891" w:rsidR="004A1368" w:rsidRPr="00FF5318" w:rsidRDefault="00CE6E45" w:rsidP="00965F12">
            <w:pPr>
              <w:spacing w:before="120" w:line="280" w:lineRule="exact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FF5318">
              <w:rPr>
                <w:rFonts w:asciiTheme="minorHAnsi" w:hAnsiTheme="minorHAnsi" w:cstheme="minorHAnsi"/>
                <w:szCs w:val="22"/>
                <w:lang w:val="da-DK"/>
              </w:rPr>
              <w:t>John F. Kennedys Plads 3</w:t>
            </w:r>
            <w:r w:rsidRPr="00FF5318">
              <w:rPr>
                <w:rFonts w:asciiTheme="minorHAnsi" w:hAnsiTheme="minorHAnsi" w:cstheme="minorHAnsi"/>
                <w:szCs w:val="22"/>
                <w:lang w:val="da-DK"/>
              </w:rPr>
              <w:br/>
              <w:t>9000 Aalborg</w:t>
            </w:r>
          </w:p>
        </w:tc>
      </w:tr>
      <w:tr w:rsidR="00905356" w14:paraId="0090FB48" w14:textId="77777777" w:rsidTr="00ED4BC7">
        <w:tc>
          <w:tcPr>
            <w:tcW w:w="3058" w:type="dxa"/>
          </w:tcPr>
          <w:p w14:paraId="28F7BE50" w14:textId="6F8A6930" w:rsidR="00905356" w:rsidRPr="00FF5318" w:rsidRDefault="00735AAA" w:rsidP="00965F12">
            <w:pPr>
              <w:spacing w:before="120" w:line="280" w:lineRule="exact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735AAA">
              <w:rPr>
                <w:rFonts w:asciiTheme="minorHAnsi" w:hAnsiTheme="minorHAnsi" w:cstheme="minorHAnsi"/>
                <w:szCs w:val="22"/>
                <w:lang w:val="da-DK"/>
              </w:rPr>
              <w:lastRenderedPageBreak/>
              <w:t>1014089485</w:t>
            </w:r>
          </w:p>
        </w:tc>
        <w:tc>
          <w:tcPr>
            <w:tcW w:w="3058" w:type="dxa"/>
          </w:tcPr>
          <w:p w14:paraId="434CDE40" w14:textId="5C4E556C" w:rsidR="00905356" w:rsidRPr="00FF5318" w:rsidRDefault="00735AAA" w:rsidP="00965F12">
            <w:pPr>
              <w:spacing w:before="120" w:line="280" w:lineRule="exact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735AAA">
              <w:rPr>
                <w:rFonts w:asciiTheme="minorHAnsi" w:hAnsiTheme="minorHAnsi" w:cstheme="minorHAnsi"/>
                <w:szCs w:val="22"/>
                <w:lang w:val="da-DK"/>
              </w:rPr>
              <w:t>DSB 7-Eleven Albertslund</w:t>
            </w:r>
          </w:p>
        </w:tc>
        <w:tc>
          <w:tcPr>
            <w:tcW w:w="3059" w:type="dxa"/>
          </w:tcPr>
          <w:p w14:paraId="76F71942" w14:textId="6CDE7A42" w:rsidR="00905356" w:rsidRPr="00FF5318" w:rsidRDefault="008B291B" w:rsidP="00965F12">
            <w:pPr>
              <w:spacing w:before="120" w:line="280" w:lineRule="exact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8B291B">
              <w:rPr>
                <w:rFonts w:asciiTheme="minorHAnsi" w:hAnsiTheme="minorHAnsi" w:cstheme="minorHAnsi"/>
                <w:szCs w:val="22"/>
                <w:lang w:val="da-DK"/>
              </w:rPr>
              <w:t>Hedemarksvej 1</w:t>
            </w:r>
            <w:r>
              <w:rPr>
                <w:rFonts w:asciiTheme="minorHAnsi" w:hAnsiTheme="minorHAnsi" w:cstheme="minorHAnsi"/>
                <w:szCs w:val="22"/>
                <w:lang w:val="da-DK"/>
              </w:rPr>
              <w:br/>
            </w:r>
            <w:r w:rsidRPr="008B291B">
              <w:rPr>
                <w:rFonts w:asciiTheme="minorHAnsi" w:hAnsiTheme="minorHAnsi" w:cstheme="minorHAnsi"/>
                <w:szCs w:val="22"/>
                <w:lang w:val="da-DK"/>
              </w:rPr>
              <w:t>2620 Albertslund</w:t>
            </w:r>
          </w:p>
        </w:tc>
      </w:tr>
    </w:tbl>
    <w:p w14:paraId="6CE44900" w14:textId="2E1C91FA" w:rsidR="00965F12" w:rsidRPr="00C10453" w:rsidRDefault="00965F12" w:rsidP="00965F12">
      <w:pPr>
        <w:pStyle w:val="Brdtekst"/>
        <w:spacing w:before="240"/>
        <w:rPr>
          <w:rFonts w:asciiTheme="minorHAnsi" w:hAnsiTheme="minorHAnsi" w:cstheme="minorHAnsi"/>
        </w:rPr>
      </w:pPr>
      <w:r w:rsidRPr="00C10453">
        <w:rPr>
          <w:rFonts w:asciiTheme="minorHAnsi" w:hAnsiTheme="minorHAnsi" w:cstheme="minorHAnsi"/>
        </w:rPr>
        <w:t>De udførte arbejdshandlinger vedrører nedenstående virksomhed:</w:t>
      </w:r>
    </w:p>
    <w:tbl>
      <w:tblPr>
        <w:tblStyle w:val="Tabel-Gitter"/>
        <w:tblW w:w="8505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965F12" w:rsidRPr="00C61ED5" w14:paraId="3ED33119" w14:textId="77777777" w:rsidTr="000E3487">
        <w:tc>
          <w:tcPr>
            <w:tcW w:w="4253" w:type="dxa"/>
          </w:tcPr>
          <w:p w14:paraId="0CD175C5" w14:textId="77777777" w:rsidR="00965F12" w:rsidRPr="00C10453" w:rsidRDefault="00965F12" w:rsidP="000E3487">
            <w:pPr>
              <w:pStyle w:val="Brdtekst"/>
              <w:spacing w:before="240"/>
              <w:rPr>
                <w:rFonts w:asciiTheme="minorHAnsi" w:hAnsiTheme="minorHAnsi" w:cstheme="minorHAnsi"/>
                <w:b/>
              </w:rPr>
            </w:pPr>
            <w:proofErr w:type="spellStart"/>
            <w:r w:rsidRPr="00C10453">
              <w:rPr>
                <w:rFonts w:asciiTheme="minorHAnsi" w:hAnsiTheme="minorHAnsi" w:cstheme="minorHAnsi"/>
                <w:b/>
              </w:rPr>
              <w:t>Navn</w:t>
            </w:r>
            <w:proofErr w:type="spellEnd"/>
            <w:r w:rsidRPr="00C1045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2" w:type="dxa"/>
          </w:tcPr>
          <w:p w14:paraId="5A9FC847" w14:textId="77777777" w:rsidR="00965F12" w:rsidRPr="00C61ED5" w:rsidRDefault="00965F12" w:rsidP="000E3487">
            <w:pPr>
              <w:pStyle w:val="Brdtekst"/>
              <w:spacing w:before="240"/>
            </w:pPr>
          </w:p>
        </w:tc>
      </w:tr>
      <w:tr w:rsidR="00965F12" w:rsidRPr="00C61ED5" w14:paraId="1AD576CA" w14:textId="77777777" w:rsidTr="000E3487">
        <w:tc>
          <w:tcPr>
            <w:tcW w:w="4253" w:type="dxa"/>
          </w:tcPr>
          <w:p w14:paraId="470F55BD" w14:textId="77777777" w:rsidR="00965F12" w:rsidRPr="00C10453" w:rsidRDefault="00965F12" w:rsidP="000E3487">
            <w:pPr>
              <w:pStyle w:val="Brdtekst"/>
              <w:spacing w:before="240"/>
              <w:rPr>
                <w:rFonts w:asciiTheme="minorHAnsi" w:hAnsiTheme="minorHAnsi" w:cstheme="minorHAnsi"/>
                <w:b/>
              </w:rPr>
            </w:pPr>
            <w:proofErr w:type="spellStart"/>
            <w:r w:rsidRPr="00C10453">
              <w:rPr>
                <w:rFonts w:asciiTheme="minorHAnsi" w:hAnsiTheme="minorHAnsi" w:cstheme="minorHAnsi"/>
                <w:b/>
              </w:rPr>
              <w:t>Virksomhedens</w:t>
            </w:r>
            <w:proofErr w:type="spellEnd"/>
            <w:r w:rsidRPr="00C10453">
              <w:rPr>
                <w:rFonts w:asciiTheme="minorHAnsi" w:hAnsiTheme="minorHAnsi" w:cstheme="minorHAnsi"/>
                <w:b/>
              </w:rPr>
              <w:t xml:space="preserve"> CVR nr.</w:t>
            </w:r>
          </w:p>
        </w:tc>
        <w:tc>
          <w:tcPr>
            <w:tcW w:w="4252" w:type="dxa"/>
          </w:tcPr>
          <w:p w14:paraId="3258FC57" w14:textId="77777777" w:rsidR="00965F12" w:rsidRPr="00C61ED5" w:rsidRDefault="00965F12" w:rsidP="000E3487">
            <w:pPr>
              <w:pStyle w:val="Brdtekst"/>
              <w:spacing w:before="240"/>
            </w:pPr>
          </w:p>
        </w:tc>
      </w:tr>
    </w:tbl>
    <w:p w14:paraId="0A3AED6A" w14:textId="77777777" w:rsidR="00965F12" w:rsidRDefault="00965F12" w:rsidP="00965F12">
      <w:pPr>
        <w:pStyle w:val="Brdtekst"/>
        <w:jc w:val="left"/>
        <w:rPr>
          <w:rFonts w:asciiTheme="minorHAnsi" w:hAnsiTheme="minorHAnsi" w:cstheme="minorHAnsi"/>
          <w:b/>
          <w:bCs/>
          <w:szCs w:val="22"/>
        </w:rPr>
      </w:pPr>
    </w:p>
    <w:p w14:paraId="11B2C0AB" w14:textId="77777777" w:rsidR="00965F12" w:rsidRPr="00707C81" w:rsidRDefault="00965F12" w:rsidP="00965F12">
      <w:pPr>
        <w:pStyle w:val="Brdtekst"/>
        <w:jc w:val="left"/>
        <w:rPr>
          <w:rFonts w:asciiTheme="minorHAnsi" w:hAnsiTheme="minorHAnsi" w:cstheme="minorHAnsi"/>
          <w:b/>
          <w:bCs/>
          <w:szCs w:val="22"/>
        </w:rPr>
      </w:pPr>
      <w:r w:rsidRPr="00707C81">
        <w:rPr>
          <w:rFonts w:asciiTheme="minorHAnsi" w:hAnsiTheme="minorHAnsi" w:cstheme="minorHAnsi"/>
          <w:b/>
          <w:bCs/>
          <w:szCs w:val="22"/>
        </w:rPr>
        <w:t>Ledelsens ansvar</w:t>
      </w:r>
    </w:p>
    <w:p w14:paraId="11962CB3" w14:textId="77777777" w:rsidR="00965F12" w:rsidRPr="00707C81" w:rsidRDefault="00965F12" w:rsidP="00965F12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707C81">
        <w:rPr>
          <w:rFonts w:asciiTheme="minorHAnsi" w:hAnsiTheme="minorHAnsi" w:cstheme="minorHAnsi"/>
          <w:szCs w:val="22"/>
        </w:rPr>
        <w:t xml:space="preserve">Ledelsen har bekræftet, at de aftalte arbejdshandlinger, der er fastlagt af </w:t>
      </w:r>
      <w:r>
        <w:rPr>
          <w:rFonts w:asciiTheme="minorHAnsi" w:hAnsiTheme="minorHAnsi" w:cstheme="minorHAnsi"/>
          <w:szCs w:val="22"/>
        </w:rPr>
        <w:t>Erhvervsstyrelsen</w:t>
      </w:r>
      <w:r w:rsidRPr="00707C81">
        <w:rPr>
          <w:rFonts w:asciiTheme="minorHAnsi" w:hAnsiTheme="minorHAnsi" w:cstheme="minorHAnsi"/>
          <w:szCs w:val="22"/>
        </w:rPr>
        <w:t xml:space="preserve">, er egnede til formålet med opgaven. </w:t>
      </w:r>
    </w:p>
    <w:p w14:paraId="493D9AEE" w14:textId="77777777" w:rsidR="00965F12" w:rsidRPr="00707C81" w:rsidRDefault="00965F12" w:rsidP="00965F12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707C81">
        <w:rPr>
          <w:rFonts w:asciiTheme="minorHAnsi" w:hAnsiTheme="minorHAnsi" w:cstheme="minorHAnsi"/>
          <w:szCs w:val="22"/>
        </w:rPr>
        <w:t>Ledelsen er ansvarlig for det erklæringsemne, hvorpå de aftalte arbejdshandlinger udføres.</w:t>
      </w:r>
    </w:p>
    <w:p w14:paraId="5B6D7660" w14:textId="77777777" w:rsidR="00965F12" w:rsidRPr="00B955F5" w:rsidRDefault="00965F12" w:rsidP="00965F12">
      <w:pPr>
        <w:pStyle w:val="Brdtekst"/>
        <w:jc w:val="left"/>
        <w:rPr>
          <w:rFonts w:asciiTheme="minorHAnsi" w:hAnsiTheme="minorHAnsi" w:cstheme="minorHAnsi"/>
          <w:b/>
          <w:bCs/>
          <w:szCs w:val="22"/>
        </w:rPr>
      </w:pPr>
      <w:r w:rsidRPr="00B955F5">
        <w:rPr>
          <w:rFonts w:asciiTheme="minorHAnsi" w:hAnsiTheme="minorHAnsi" w:cstheme="minorHAnsi"/>
          <w:b/>
          <w:bCs/>
          <w:szCs w:val="22"/>
        </w:rPr>
        <w:t>Revisors ansvar</w:t>
      </w:r>
    </w:p>
    <w:p w14:paraId="11631985" w14:textId="77777777" w:rsidR="00965F12" w:rsidRPr="00707C81" w:rsidRDefault="00965F12" w:rsidP="00965F12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707C81">
        <w:rPr>
          <w:rFonts w:asciiTheme="minorHAnsi" w:hAnsiTheme="minorHAnsi" w:cstheme="minorHAnsi"/>
          <w:szCs w:val="22"/>
        </w:rPr>
        <w:t xml:space="preserve">Vi har udført opgaven om aftalte arbejdshandlinger i overensstemmelse med den internationale standard om beslægtede opgaver ISRS 4400 (Ajourført) </w:t>
      </w:r>
      <w:r w:rsidRPr="00707C81">
        <w:rPr>
          <w:rFonts w:asciiTheme="minorHAnsi" w:hAnsiTheme="minorHAnsi" w:cstheme="minorHAnsi"/>
          <w:i/>
          <w:iCs/>
          <w:szCs w:val="22"/>
        </w:rPr>
        <w:t xml:space="preserve">Opgaver om aftalte arbejdshandlinger </w:t>
      </w:r>
      <w:r w:rsidRPr="00707C81">
        <w:rPr>
          <w:rFonts w:asciiTheme="minorHAnsi" w:hAnsiTheme="minorHAnsi" w:cstheme="minorHAnsi"/>
          <w:szCs w:val="22"/>
        </w:rPr>
        <w:t xml:space="preserve">og yderligere krav ifølge dansk revisorlovgivning. En opgave om aftalte arbejdshandlinger indebærer, at vi udfører de arbejdshandlinger, </w:t>
      </w:r>
      <w:r>
        <w:rPr>
          <w:rFonts w:asciiTheme="minorHAnsi" w:hAnsiTheme="minorHAnsi" w:cstheme="minorHAnsi"/>
          <w:szCs w:val="22"/>
        </w:rPr>
        <w:t>der</w:t>
      </w:r>
      <w:r w:rsidRPr="00707C81">
        <w:rPr>
          <w:rFonts w:asciiTheme="minorHAnsi" w:hAnsiTheme="minorHAnsi" w:cstheme="minorHAnsi"/>
          <w:szCs w:val="22"/>
        </w:rPr>
        <w:t xml:space="preserve"> er fastlagt af </w:t>
      </w:r>
      <w:r>
        <w:rPr>
          <w:rFonts w:asciiTheme="minorHAnsi" w:hAnsiTheme="minorHAnsi" w:cstheme="minorHAnsi"/>
          <w:szCs w:val="22"/>
        </w:rPr>
        <w:t>Erhvervsstyrelsen</w:t>
      </w:r>
      <w:r w:rsidRPr="00707C81">
        <w:rPr>
          <w:rFonts w:asciiTheme="minorHAnsi" w:hAnsiTheme="minorHAnsi" w:cstheme="minorHAnsi"/>
          <w:szCs w:val="22"/>
        </w:rPr>
        <w:t xml:space="preserve">, og </w:t>
      </w:r>
      <w:r>
        <w:rPr>
          <w:rFonts w:asciiTheme="minorHAnsi" w:hAnsiTheme="minorHAnsi" w:cstheme="minorHAnsi"/>
          <w:szCs w:val="22"/>
        </w:rPr>
        <w:t>som</w:t>
      </w:r>
      <w:r w:rsidRPr="00707C81">
        <w:rPr>
          <w:rFonts w:asciiTheme="minorHAnsi" w:hAnsiTheme="minorHAnsi" w:cstheme="minorHAnsi"/>
          <w:szCs w:val="22"/>
        </w:rPr>
        <w:t xml:space="preserve"> er aftalt med </w:t>
      </w:r>
      <w:r>
        <w:rPr>
          <w:rFonts w:asciiTheme="minorHAnsi" w:hAnsiTheme="minorHAnsi" w:cstheme="minorHAnsi"/>
          <w:szCs w:val="22"/>
        </w:rPr>
        <w:t>ledelsen</w:t>
      </w:r>
      <w:r w:rsidRPr="00707C81">
        <w:rPr>
          <w:rFonts w:asciiTheme="minorHAnsi" w:hAnsiTheme="minorHAnsi" w:cstheme="minorHAnsi"/>
          <w:szCs w:val="22"/>
        </w:rPr>
        <w:t>, og rapporterer om observationerne, som</w:t>
      </w:r>
      <w:r w:rsidRPr="00707C81">
        <w:rPr>
          <w:rFonts w:asciiTheme="minorHAnsi" w:hAnsiTheme="minorHAnsi" w:cstheme="minorHAnsi"/>
        </w:rPr>
        <w:t xml:space="preserve"> </w:t>
      </w:r>
      <w:r w:rsidRPr="00707C81">
        <w:rPr>
          <w:rFonts w:asciiTheme="minorHAnsi" w:hAnsiTheme="minorHAnsi" w:cstheme="minorHAnsi"/>
          <w:szCs w:val="22"/>
        </w:rPr>
        <w:t>er de faktiske resultater af de udførte aftalte arbejdshandlinger. Vi udtaler os ikke om egnetheden af de aftalte arbejdshandlinger.</w:t>
      </w:r>
    </w:p>
    <w:p w14:paraId="29D82CCA" w14:textId="77777777" w:rsidR="00B66591" w:rsidRPr="00FE4436" w:rsidRDefault="00B66591" w:rsidP="00B66591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FE4436">
        <w:rPr>
          <w:rFonts w:asciiTheme="minorHAnsi" w:hAnsiTheme="minorHAnsi" w:cstheme="minorHAnsi"/>
          <w:szCs w:val="22"/>
        </w:rPr>
        <w:t>Denne opgave om aftalte arbejdshandlinger er ikke en erklæringsopgave med sikkerhed. Vi afgiver derfor ikke en revisionskonklusion eller udtrykker anden form for konklusion med sikkerhed.</w:t>
      </w:r>
    </w:p>
    <w:p w14:paraId="653B19DF" w14:textId="77777777" w:rsidR="00B66591" w:rsidRPr="00FE4436" w:rsidRDefault="00B66591" w:rsidP="00B66591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FE4436">
        <w:rPr>
          <w:rFonts w:asciiTheme="minorHAnsi" w:hAnsiTheme="minorHAnsi" w:cstheme="minorHAnsi"/>
          <w:szCs w:val="22"/>
        </w:rPr>
        <w:t>Hvis vi havde udført yderligere arbejdshandlinger, kunne andre forhold være fundet og rapporteret.</w:t>
      </w:r>
    </w:p>
    <w:p w14:paraId="275C6DB5" w14:textId="77777777" w:rsidR="00B66591" w:rsidRPr="00FE4436" w:rsidRDefault="00B66591" w:rsidP="00FE4436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FE4436">
        <w:rPr>
          <w:rFonts w:asciiTheme="minorHAnsi" w:hAnsiTheme="minorHAnsi" w:cstheme="minorHAnsi"/>
          <w:szCs w:val="22"/>
        </w:rPr>
        <w:t xml:space="preserve">Professionel etik og kvalitetsstyring </w:t>
      </w:r>
    </w:p>
    <w:p w14:paraId="1FE98F99" w14:textId="77777777" w:rsidR="00B66591" w:rsidRPr="00FE4436" w:rsidRDefault="00B66591" w:rsidP="00FE4436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FE4436">
        <w:rPr>
          <w:rFonts w:asciiTheme="minorHAnsi" w:hAnsiTheme="minorHAnsi" w:cstheme="minorHAnsi"/>
          <w:szCs w:val="22"/>
        </w:rPr>
        <w:t xml:space="preserve">Vi har overholdt relevante bestemmelser i revisorloven og International </w:t>
      </w:r>
      <w:proofErr w:type="spellStart"/>
      <w:r w:rsidRPr="00FE4436">
        <w:rPr>
          <w:rFonts w:asciiTheme="minorHAnsi" w:hAnsiTheme="minorHAnsi" w:cstheme="minorHAnsi"/>
          <w:szCs w:val="22"/>
        </w:rPr>
        <w:t>Ethics</w:t>
      </w:r>
      <w:proofErr w:type="spellEnd"/>
      <w:r w:rsidRPr="00FE4436">
        <w:rPr>
          <w:rFonts w:asciiTheme="minorHAnsi" w:hAnsiTheme="minorHAnsi" w:cstheme="minorHAnsi"/>
          <w:szCs w:val="22"/>
        </w:rPr>
        <w:t xml:space="preserve"> Standards Board for </w:t>
      </w:r>
      <w:proofErr w:type="spellStart"/>
      <w:r w:rsidRPr="00FE4436">
        <w:rPr>
          <w:rFonts w:asciiTheme="minorHAnsi" w:hAnsiTheme="minorHAnsi" w:cstheme="minorHAnsi"/>
          <w:szCs w:val="22"/>
        </w:rPr>
        <w:t>Accountants</w:t>
      </w:r>
      <w:proofErr w:type="spellEnd"/>
      <w:r w:rsidRPr="00FE4436">
        <w:rPr>
          <w:rFonts w:asciiTheme="minorHAnsi" w:hAnsiTheme="minorHAnsi" w:cstheme="minorHAnsi"/>
          <w:szCs w:val="22"/>
        </w:rPr>
        <w:t xml:space="preserve">’ internationale retningslinjer for revisorers etiske adfærd (IESBA Code), herunder principper om integritet, objektivitet, professionel kompetence og fornøden omhu og uafhængighedskravene i IESBA Code. </w:t>
      </w:r>
    </w:p>
    <w:p w14:paraId="71DA5297" w14:textId="77777777" w:rsidR="00B66591" w:rsidRPr="00FE4436" w:rsidRDefault="00B66591" w:rsidP="00B66591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FE4436">
        <w:rPr>
          <w:rFonts w:asciiTheme="minorHAnsi" w:hAnsiTheme="minorHAnsi" w:cstheme="minorHAnsi"/>
          <w:szCs w:val="22"/>
        </w:rPr>
        <w:t xml:space="preserve">[Statsautoriseret/registreret/godkendt revisionsfirma] er underlagt international standard om kvalitetsstyring, ISQC 1, Kvalitetsstyring i firmaer, som udfører revision og </w:t>
      </w:r>
      <w:proofErr w:type="spellStart"/>
      <w:r w:rsidRPr="00FE4436">
        <w:rPr>
          <w:rFonts w:asciiTheme="minorHAnsi" w:hAnsiTheme="minorHAnsi" w:cstheme="minorHAnsi"/>
          <w:szCs w:val="22"/>
        </w:rPr>
        <w:t>review</w:t>
      </w:r>
      <w:proofErr w:type="spellEnd"/>
      <w:r w:rsidRPr="00FE4436">
        <w:rPr>
          <w:rFonts w:asciiTheme="minorHAnsi" w:hAnsiTheme="minorHAnsi" w:cstheme="minorHAnsi"/>
          <w:szCs w:val="22"/>
        </w:rPr>
        <w:t xml:space="preserve"> af regnskaber, andre erklæringsopgaver med sikkerhed samt beslægtede opgaver, og anvender således et omfattende kvalitetsstyringssystem, herunder dokumenterede politikker og procedurer vedrørende overholdelse af etiske krav, faglige standarder og gældende krav i lov og øvrig regulering. </w:t>
      </w:r>
    </w:p>
    <w:p w14:paraId="5F9F5075" w14:textId="77777777" w:rsidR="00B66591" w:rsidRPr="00FE4436" w:rsidRDefault="00B66591" w:rsidP="00FE4436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FE4436">
        <w:rPr>
          <w:rFonts w:asciiTheme="minorHAnsi" w:hAnsiTheme="minorHAnsi" w:cstheme="minorHAnsi"/>
          <w:szCs w:val="22"/>
        </w:rPr>
        <w:t>Arbejdshandlinger og observationer</w:t>
      </w:r>
    </w:p>
    <w:p w14:paraId="7DDE7E07" w14:textId="77777777" w:rsidR="00B66591" w:rsidRPr="00DB612A" w:rsidRDefault="00B66591" w:rsidP="00FE4436">
      <w:pPr>
        <w:spacing w:before="120" w:line="280" w:lineRule="exact"/>
        <w:rPr>
          <w:rFonts w:asciiTheme="minorHAnsi" w:hAnsiTheme="minorHAnsi" w:cstheme="minorHAnsi"/>
          <w:szCs w:val="22"/>
        </w:rPr>
      </w:pPr>
      <w:r w:rsidRPr="00FE4436">
        <w:rPr>
          <w:rFonts w:asciiTheme="minorHAnsi" w:hAnsiTheme="minorHAnsi" w:cstheme="minorHAnsi"/>
          <w:szCs w:val="22"/>
        </w:rPr>
        <w:t xml:space="preserve">Vores arbejde har bestået i at udføre de nedenfor beskrevne arbejdshandlinger, der er fastlagt af Erhvervsstyrelsen og, som er aftalt med ledelsen i aftalebrev indgået </w:t>
      </w:r>
      <w:r w:rsidRPr="00B5026E">
        <w:rPr>
          <w:rFonts w:asciiTheme="minorHAnsi" w:hAnsiTheme="minorHAnsi" w:cstheme="minorHAnsi"/>
          <w:szCs w:val="22"/>
        </w:rPr>
        <w:t xml:space="preserve">den </w:t>
      </w:r>
      <w:r w:rsidRPr="00106606">
        <w:rPr>
          <w:rFonts w:asciiTheme="minorHAnsi" w:hAnsiTheme="minorHAnsi" w:cstheme="minorHAnsi"/>
          <w:szCs w:val="22"/>
          <w:highlight w:val="yellow"/>
        </w:rPr>
        <w:t>[indsæt dato]</w:t>
      </w:r>
      <w:r w:rsidRPr="00FE4436">
        <w:rPr>
          <w:rFonts w:asciiTheme="minorHAnsi" w:hAnsiTheme="minorHAnsi" w:cstheme="minorHAnsi"/>
          <w:szCs w:val="22"/>
        </w:rPr>
        <w:t xml:space="preserve"> vedrørende slutafregning af modtaget lønkompensation i perioden </w:t>
      </w:r>
      <w:r w:rsidRPr="00106606">
        <w:rPr>
          <w:rFonts w:asciiTheme="minorHAnsi" w:hAnsiTheme="minorHAnsi" w:cstheme="minorHAnsi"/>
          <w:szCs w:val="22"/>
          <w:highlight w:val="yellow"/>
        </w:rPr>
        <w:t>[</w:t>
      </w:r>
      <w:proofErr w:type="spellStart"/>
      <w:r w:rsidRPr="00106606">
        <w:rPr>
          <w:rFonts w:asciiTheme="minorHAnsi" w:hAnsiTheme="minorHAnsi" w:cstheme="minorHAnsi"/>
          <w:szCs w:val="22"/>
          <w:highlight w:val="yellow"/>
        </w:rPr>
        <w:t>dd.mm.ååå</w:t>
      </w:r>
      <w:proofErr w:type="spellEnd"/>
      <w:r w:rsidRPr="00106606">
        <w:rPr>
          <w:rFonts w:asciiTheme="minorHAnsi" w:hAnsiTheme="minorHAnsi" w:cstheme="minorHAnsi"/>
          <w:szCs w:val="22"/>
          <w:highlight w:val="yellow"/>
        </w:rPr>
        <w:t xml:space="preserve"> – </w:t>
      </w:r>
      <w:proofErr w:type="spellStart"/>
      <w:r w:rsidRPr="00106606">
        <w:rPr>
          <w:rFonts w:asciiTheme="minorHAnsi" w:hAnsiTheme="minorHAnsi" w:cstheme="minorHAnsi"/>
          <w:szCs w:val="22"/>
          <w:highlight w:val="yellow"/>
        </w:rPr>
        <w:t>dd.mm.ååå</w:t>
      </w:r>
      <w:proofErr w:type="spellEnd"/>
      <w:r w:rsidRPr="00106606">
        <w:rPr>
          <w:rFonts w:asciiTheme="minorHAnsi" w:hAnsiTheme="minorHAnsi" w:cstheme="minorHAnsi"/>
          <w:szCs w:val="22"/>
          <w:highlight w:val="yellow"/>
        </w:rPr>
        <w:t>]:</w:t>
      </w:r>
    </w:p>
    <w:p w14:paraId="588D4436" w14:textId="3E7EBEA2" w:rsidR="00965F12" w:rsidRPr="00DB612A" w:rsidRDefault="00965F12" w:rsidP="00FE4436">
      <w:pPr>
        <w:spacing w:before="120" w:line="280" w:lineRule="exact"/>
        <w:rPr>
          <w:rFonts w:asciiTheme="minorHAnsi" w:hAnsiTheme="minorHAnsi" w:cstheme="minorHAnsi"/>
          <w:szCs w:val="22"/>
        </w:rPr>
      </w:pPr>
    </w:p>
    <w:p w14:paraId="1F641FB9" w14:textId="5F21D200" w:rsidR="00965F12" w:rsidRDefault="00965F12"/>
    <w:p w14:paraId="2591001C" w14:textId="46BDF4DC" w:rsidR="00965F12" w:rsidRDefault="00965F12"/>
    <w:tbl>
      <w:tblPr>
        <w:tblStyle w:val="Tabel-Gitter"/>
        <w:tblpPr w:leftFromText="141" w:rightFromText="141" w:vertAnchor="text" w:tblpY="1"/>
        <w:tblOverlap w:val="never"/>
        <w:tblW w:w="8926" w:type="dxa"/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142"/>
        <w:gridCol w:w="2552"/>
        <w:gridCol w:w="3969"/>
      </w:tblGrid>
      <w:tr w:rsidR="00965F12" w:rsidRPr="00C61ED5" w14:paraId="5E6B5844" w14:textId="77777777" w:rsidTr="00635A1D">
        <w:trPr>
          <w:tblHeader/>
        </w:trPr>
        <w:tc>
          <w:tcPr>
            <w:tcW w:w="704" w:type="dxa"/>
          </w:tcPr>
          <w:p w14:paraId="114C8500" w14:textId="77777777" w:rsidR="00965F12" w:rsidRPr="00635A1D" w:rsidRDefault="00965F12" w:rsidP="000E3487">
            <w:pPr>
              <w:pStyle w:val="TableTextNoHanging"/>
              <w:rPr>
                <w:b/>
                <w:lang w:val="da-DK"/>
              </w:rPr>
            </w:pPr>
          </w:p>
        </w:tc>
        <w:tc>
          <w:tcPr>
            <w:tcW w:w="1701" w:type="dxa"/>
            <w:gridSpan w:val="2"/>
          </w:tcPr>
          <w:p w14:paraId="3F9706CD" w14:textId="77777777" w:rsidR="00965F12" w:rsidRPr="00C61ED5" w:rsidRDefault="00965F12" w:rsidP="000E3487">
            <w:pPr>
              <w:pStyle w:val="TableTextNoHanging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Bekendtgørelse</w:t>
            </w:r>
            <w:proofErr w:type="spellEnd"/>
          </w:p>
        </w:tc>
        <w:tc>
          <w:tcPr>
            <w:tcW w:w="2552" w:type="dxa"/>
          </w:tcPr>
          <w:p w14:paraId="1FECA9FC" w14:textId="77777777" w:rsidR="00965F12" w:rsidRPr="00C61ED5" w:rsidRDefault="00965F12" w:rsidP="000E3487">
            <w:pPr>
              <w:pStyle w:val="TableTextNoHanging"/>
              <w:rPr>
                <w:b/>
                <w:lang w:val="en-GB"/>
              </w:rPr>
            </w:pPr>
            <w:proofErr w:type="spellStart"/>
            <w:r w:rsidRPr="00C61ED5">
              <w:rPr>
                <w:b/>
                <w:lang w:val="en-GB"/>
              </w:rPr>
              <w:t>Handling</w:t>
            </w:r>
            <w:r>
              <w:rPr>
                <w:b/>
                <w:lang w:val="en-GB"/>
              </w:rPr>
              <w:t>er</w:t>
            </w:r>
            <w:proofErr w:type="spellEnd"/>
          </w:p>
        </w:tc>
        <w:tc>
          <w:tcPr>
            <w:tcW w:w="3969" w:type="dxa"/>
          </w:tcPr>
          <w:p w14:paraId="5541F546" w14:textId="5FDAB2CE" w:rsidR="00965F12" w:rsidRPr="00C61ED5" w:rsidRDefault="00965F12" w:rsidP="000E3487">
            <w:pPr>
              <w:pStyle w:val="TableTextNoHanging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Observationer</w:t>
            </w:r>
            <w:proofErr w:type="spellEnd"/>
          </w:p>
        </w:tc>
      </w:tr>
      <w:tr w:rsidR="0075665A" w:rsidRPr="00653424" w14:paraId="3912D716" w14:textId="77777777" w:rsidTr="00635A1D">
        <w:tc>
          <w:tcPr>
            <w:tcW w:w="704" w:type="dxa"/>
          </w:tcPr>
          <w:p w14:paraId="65C91133" w14:textId="77777777" w:rsidR="0075665A" w:rsidRPr="00635A1D" w:rsidRDefault="0075665A" w:rsidP="000E3487">
            <w:pPr>
              <w:pStyle w:val="TableTextNoHanging"/>
              <w:rPr>
                <w:bCs/>
              </w:rPr>
            </w:pPr>
            <w:bookmarkStart w:id="0" w:name="_Hlk69196337"/>
            <w:r w:rsidRPr="00635A1D">
              <w:rPr>
                <w:bCs/>
              </w:rPr>
              <w:t>1.</w:t>
            </w:r>
          </w:p>
        </w:tc>
        <w:tc>
          <w:tcPr>
            <w:tcW w:w="1559" w:type="dxa"/>
          </w:tcPr>
          <w:p w14:paraId="6DA5CFEE" w14:textId="77777777" w:rsidR="0075665A" w:rsidRPr="00635A1D" w:rsidRDefault="0075665A" w:rsidP="000E3487">
            <w:pPr>
              <w:pStyle w:val="TableTextNoHanging"/>
              <w:rPr>
                <w:b/>
                <w:lang w:val="en-GB"/>
              </w:rPr>
            </w:pPr>
            <w:r w:rsidRPr="00635A1D">
              <w:t>§ 5 stk. 5</w:t>
            </w:r>
          </w:p>
        </w:tc>
        <w:tc>
          <w:tcPr>
            <w:tcW w:w="2694" w:type="dxa"/>
            <w:gridSpan w:val="2"/>
          </w:tcPr>
          <w:p w14:paraId="0D26C7B6" w14:textId="77777777" w:rsidR="0075665A" w:rsidRPr="00A2678A" w:rsidRDefault="0075665A" w:rsidP="000E3487">
            <w:pPr>
              <w:pStyle w:val="TableTextNoHanging"/>
              <w:rPr>
                <w:lang w:val="da-DK"/>
              </w:rPr>
            </w:pPr>
            <w:r w:rsidRPr="00A2678A">
              <w:rPr>
                <w:lang w:val="da-DK"/>
              </w:rPr>
              <w:t xml:space="preserve">1.1: Vi har indhentet en oversigt over virksomhedens ejerstruktur fra ledelsen og </w:t>
            </w:r>
            <w:r w:rsidRPr="00A2678A">
              <w:rPr>
                <w:lang w:val="da-DK"/>
              </w:rPr>
              <w:lastRenderedPageBreak/>
              <w:t>påset om der i ejerstrukturen indgår lande som fremgår på EU’s liste over skattelylande.</w:t>
            </w:r>
          </w:p>
          <w:p w14:paraId="23C85A79" w14:textId="77777777" w:rsidR="0075665A" w:rsidRPr="00A2678A" w:rsidRDefault="0075665A" w:rsidP="000E3487">
            <w:pPr>
              <w:pStyle w:val="TableTextNoHanging"/>
              <w:rPr>
                <w:lang w:val="da-DK"/>
              </w:rPr>
            </w:pPr>
            <w:r w:rsidRPr="00A2678A">
              <w:rPr>
                <w:b/>
                <w:bCs/>
                <w:lang w:val="da-DK"/>
              </w:rPr>
              <w:t>EU-listen over ikkesamarbejdsvillige skattejurisdiktioner:</w:t>
            </w:r>
          </w:p>
          <w:p w14:paraId="5843A720" w14:textId="77777777" w:rsidR="0075665A" w:rsidRPr="00462D90" w:rsidRDefault="002B5ED0" w:rsidP="000E3487">
            <w:pPr>
              <w:pStyle w:val="TableTextNoHanging"/>
              <w:rPr>
                <w:lang w:val="da-DK"/>
              </w:rPr>
            </w:pPr>
            <w:hyperlink r:id="rId8" w:history="1">
              <w:r w:rsidR="0075665A" w:rsidRPr="00E46239">
                <w:rPr>
                  <w:rStyle w:val="Hyperlink"/>
                  <w:lang w:val="da-DK"/>
                </w:rPr>
                <w:t>https://eur-lex.europa.eu/legal-content/da/TXT/PDF/?uri=uriserv:OJ.C_.2021.066.01.0040.01.ENG</w:t>
              </w:r>
            </w:hyperlink>
          </w:p>
          <w:p w14:paraId="366F684B" w14:textId="77777777" w:rsidR="0075665A" w:rsidRPr="00462D90" w:rsidRDefault="0075665A" w:rsidP="000E3487">
            <w:pPr>
              <w:pStyle w:val="TableTextNoHanging"/>
              <w:rPr>
                <w:lang w:val="da-DK"/>
              </w:rPr>
            </w:pPr>
          </w:p>
          <w:p w14:paraId="6B00CDC6" w14:textId="77777777" w:rsidR="0075665A" w:rsidRPr="00462D90" w:rsidRDefault="0075665A" w:rsidP="000E3487">
            <w:pPr>
              <w:pStyle w:val="TableTextNoHanging"/>
              <w:rPr>
                <w:lang w:val="da-DK"/>
              </w:rPr>
            </w:pPr>
            <w:r w:rsidRPr="00462D90">
              <w:rPr>
                <w:lang w:val="da-DK"/>
              </w:rPr>
              <w:t>1.2: Vi har undersøgt, om virksomhedens ejerbog stemmer overens med virksomhedens ejerstruktur og registreringerne af legale- og reelle ejere i CVR-registeret.</w:t>
            </w:r>
            <w:r w:rsidRPr="00462D90">
              <w:rPr>
                <w:lang w:val="da-DK"/>
              </w:rPr>
              <w:br/>
            </w:r>
            <w:r w:rsidRPr="00462D90">
              <w:rPr>
                <w:lang w:val="da-DK"/>
              </w:rPr>
              <w:br/>
            </w:r>
          </w:p>
        </w:tc>
        <w:tc>
          <w:tcPr>
            <w:tcW w:w="3969" w:type="dxa"/>
          </w:tcPr>
          <w:p w14:paraId="18E31E8B" w14:textId="352D8567" w:rsidR="0075665A" w:rsidRPr="00A82EF3" w:rsidRDefault="0075665A" w:rsidP="000E3487">
            <w:pPr>
              <w:pStyle w:val="TableTextNoHanging"/>
              <w:rPr>
                <w:lang w:val="da-DK"/>
              </w:rPr>
            </w:pPr>
            <w:r w:rsidRPr="00462D90">
              <w:rPr>
                <w:lang w:val="da-DK"/>
              </w:rPr>
              <w:lastRenderedPageBreak/>
              <w:t xml:space="preserve">1.1.1: Vi </w:t>
            </w:r>
            <w:r w:rsidR="00294ED6">
              <w:rPr>
                <w:lang w:val="da-DK"/>
              </w:rPr>
              <w:t>fandt</w:t>
            </w:r>
            <w:r w:rsidRPr="00A82EF3">
              <w:rPr>
                <w:lang w:val="da-DK"/>
              </w:rPr>
              <w:t xml:space="preserve">, at der i virksomhedens ejerstruktur ikke </w:t>
            </w:r>
            <w:r w:rsidR="00090280" w:rsidRPr="00A82EF3">
              <w:rPr>
                <w:lang w:val="da-DK"/>
              </w:rPr>
              <w:t>indg</w:t>
            </w:r>
            <w:r w:rsidR="00090280">
              <w:rPr>
                <w:lang w:val="da-DK"/>
              </w:rPr>
              <w:t>ik</w:t>
            </w:r>
            <w:r w:rsidR="00090280" w:rsidRPr="00A82EF3">
              <w:rPr>
                <w:lang w:val="da-DK"/>
              </w:rPr>
              <w:t xml:space="preserve"> </w:t>
            </w:r>
            <w:r w:rsidRPr="00A82EF3">
              <w:rPr>
                <w:lang w:val="da-DK"/>
              </w:rPr>
              <w:t xml:space="preserve">lande som </w:t>
            </w:r>
            <w:r w:rsidR="00090280" w:rsidRPr="00A82EF3">
              <w:rPr>
                <w:lang w:val="da-DK"/>
              </w:rPr>
              <w:t>fremg</w:t>
            </w:r>
            <w:r w:rsidR="00090280">
              <w:rPr>
                <w:lang w:val="da-DK"/>
              </w:rPr>
              <w:t>ik</w:t>
            </w:r>
            <w:r w:rsidR="00090280" w:rsidRPr="00A82EF3">
              <w:rPr>
                <w:lang w:val="da-DK"/>
              </w:rPr>
              <w:t xml:space="preserve"> </w:t>
            </w:r>
            <w:r w:rsidRPr="00A82EF3">
              <w:rPr>
                <w:lang w:val="da-DK"/>
              </w:rPr>
              <w:t>på EU’s liste over skattelylande.</w:t>
            </w:r>
          </w:p>
          <w:p w14:paraId="5C17667A" w14:textId="77777777" w:rsidR="0075665A" w:rsidRPr="00A82EF3" w:rsidRDefault="0075665A" w:rsidP="000E3487">
            <w:pPr>
              <w:pStyle w:val="TableTextNoHanging"/>
              <w:rPr>
                <w:lang w:val="da-DK"/>
              </w:rPr>
            </w:pPr>
          </w:p>
          <w:p w14:paraId="08C34811" w14:textId="20B5972E" w:rsidR="0075665A" w:rsidRPr="00EB2693" w:rsidRDefault="0075665A" w:rsidP="000E3487">
            <w:pPr>
              <w:pStyle w:val="TableTextNoHanging"/>
              <w:rPr>
                <w:lang w:val="da-DK"/>
              </w:rPr>
            </w:pPr>
            <w:r w:rsidRPr="00A82EF3">
              <w:rPr>
                <w:lang w:val="da-DK"/>
              </w:rPr>
              <w:t xml:space="preserve">1.1.2: Vi </w:t>
            </w:r>
            <w:r w:rsidR="00294ED6">
              <w:rPr>
                <w:lang w:val="da-DK"/>
              </w:rPr>
              <w:t>fandt,</w:t>
            </w:r>
            <w:r w:rsidRPr="00A82EF3">
              <w:rPr>
                <w:lang w:val="da-DK"/>
              </w:rPr>
              <w:t xml:space="preserve"> at følgende lande, som </w:t>
            </w:r>
            <w:r w:rsidR="000A7B23" w:rsidRPr="000A7B23">
              <w:rPr>
                <w:lang w:val="da-DK"/>
              </w:rPr>
              <w:t>optråd</w:t>
            </w:r>
            <w:r w:rsidR="000A7B23">
              <w:rPr>
                <w:lang w:val="da-DK"/>
              </w:rPr>
              <w:t>te</w:t>
            </w:r>
            <w:r w:rsidR="00090280" w:rsidRPr="00A82EF3">
              <w:rPr>
                <w:lang w:val="da-DK"/>
              </w:rPr>
              <w:t xml:space="preserve"> </w:t>
            </w:r>
            <w:r w:rsidRPr="00A82EF3">
              <w:rPr>
                <w:lang w:val="da-DK"/>
              </w:rPr>
              <w:t xml:space="preserve">på EU's liste over skattelylande, </w:t>
            </w:r>
            <w:r w:rsidR="00090280" w:rsidRPr="00A82EF3">
              <w:rPr>
                <w:lang w:val="da-DK"/>
              </w:rPr>
              <w:t>fremg</w:t>
            </w:r>
            <w:r w:rsidR="00090280">
              <w:rPr>
                <w:lang w:val="da-DK"/>
              </w:rPr>
              <w:t>ik</w:t>
            </w:r>
            <w:r w:rsidR="00090280" w:rsidRPr="00EB2693">
              <w:rPr>
                <w:lang w:val="da-DK"/>
              </w:rPr>
              <w:t xml:space="preserve"> </w:t>
            </w:r>
            <w:r w:rsidRPr="00EB2693">
              <w:rPr>
                <w:lang w:val="da-DK"/>
              </w:rPr>
              <w:t>af virksomhedens ejerstruktur på følgende måde:</w:t>
            </w:r>
          </w:p>
          <w:p w14:paraId="46B05D50" w14:textId="77777777" w:rsidR="0075665A" w:rsidRPr="00EB2693" w:rsidRDefault="0075665A" w:rsidP="000E3487">
            <w:pPr>
              <w:pStyle w:val="TableTextNoHanging"/>
              <w:rPr>
                <w:lang w:val="da-DK"/>
              </w:rPr>
            </w:pPr>
            <w:r w:rsidRPr="00EB2693">
              <w:rPr>
                <w:lang w:val="da-DK"/>
              </w:rPr>
              <w:t xml:space="preserve">XX </w:t>
            </w:r>
            <w:r w:rsidRPr="00EB2693">
              <w:rPr>
                <w:lang w:val="da-DK"/>
              </w:rPr>
              <w:br/>
              <w:t>XX</w:t>
            </w:r>
          </w:p>
          <w:p w14:paraId="76F8952F" w14:textId="77777777" w:rsidR="0075665A" w:rsidRPr="00EB2693" w:rsidRDefault="0075665A" w:rsidP="000E3487">
            <w:pPr>
              <w:pStyle w:val="TableTextNoHanging"/>
              <w:rPr>
                <w:lang w:val="da-DK"/>
              </w:rPr>
            </w:pPr>
          </w:p>
          <w:p w14:paraId="39802516" w14:textId="03389163" w:rsidR="0075665A" w:rsidRPr="00EB2693" w:rsidRDefault="0075665A" w:rsidP="000E3487">
            <w:pPr>
              <w:pStyle w:val="TableTextNoHanging"/>
              <w:rPr>
                <w:lang w:val="da-DK"/>
              </w:rPr>
            </w:pPr>
            <w:r w:rsidRPr="00EB2693">
              <w:rPr>
                <w:lang w:val="da-DK"/>
              </w:rPr>
              <w:t xml:space="preserve">1.2.1: Vi </w:t>
            </w:r>
            <w:r w:rsidR="00294ED6">
              <w:rPr>
                <w:lang w:val="da-DK"/>
              </w:rPr>
              <w:t>fandt</w:t>
            </w:r>
            <w:r w:rsidRPr="00EB2693">
              <w:rPr>
                <w:lang w:val="da-DK"/>
              </w:rPr>
              <w:t xml:space="preserve">, at virksomhedens ejerbog </w:t>
            </w:r>
            <w:r w:rsidR="00090280" w:rsidRPr="00EB2693">
              <w:rPr>
                <w:lang w:val="da-DK"/>
              </w:rPr>
              <w:t>stem</w:t>
            </w:r>
            <w:r w:rsidR="00090280">
              <w:rPr>
                <w:lang w:val="da-DK"/>
              </w:rPr>
              <w:t>te</w:t>
            </w:r>
            <w:r w:rsidR="00090280" w:rsidRPr="00EB2693">
              <w:rPr>
                <w:lang w:val="da-DK"/>
              </w:rPr>
              <w:t xml:space="preserve"> </w:t>
            </w:r>
            <w:r w:rsidRPr="00EB2693">
              <w:rPr>
                <w:lang w:val="da-DK"/>
              </w:rPr>
              <w:t>overens med virksomhedens ejerstruktur og registreringerne af legale og reelle ejere i CVR-registeret.</w:t>
            </w:r>
            <w:r w:rsidRPr="00EB2693">
              <w:rPr>
                <w:lang w:val="da-DK"/>
              </w:rPr>
              <w:br/>
            </w:r>
          </w:p>
          <w:p w14:paraId="041B7DF6" w14:textId="2C2E34A5" w:rsidR="0075665A" w:rsidRPr="00EB2693" w:rsidRDefault="0075665A" w:rsidP="000E3487">
            <w:pPr>
              <w:pStyle w:val="TableTextNoHanging"/>
              <w:rPr>
                <w:lang w:val="da-DK"/>
              </w:rPr>
            </w:pPr>
            <w:r w:rsidRPr="00EB2693">
              <w:rPr>
                <w:lang w:val="da-DK"/>
              </w:rPr>
              <w:t xml:space="preserve">1.2.2: Vi </w:t>
            </w:r>
            <w:r w:rsidR="00294ED6">
              <w:rPr>
                <w:lang w:val="da-DK"/>
              </w:rPr>
              <w:t>fan</w:t>
            </w:r>
            <w:r w:rsidR="005D1152">
              <w:rPr>
                <w:lang w:val="da-DK"/>
              </w:rPr>
              <w:t>d</w:t>
            </w:r>
            <w:r w:rsidR="00294ED6">
              <w:rPr>
                <w:lang w:val="da-DK"/>
              </w:rPr>
              <w:t>t</w:t>
            </w:r>
            <w:r w:rsidRPr="00EB2693">
              <w:rPr>
                <w:lang w:val="da-DK"/>
              </w:rPr>
              <w:t xml:space="preserve"> følgende uoverensstemmelser mellem ejerbog, virksomhedens ejerstruktur og registreringerne af legale og reelle ejere i CVR-registeret: </w:t>
            </w:r>
          </w:p>
          <w:p w14:paraId="2DBBE5FD" w14:textId="77777777" w:rsidR="0075665A" w:rsidRPr="00EB2693" w:rsidRDefault="0075665A" w:rsidP="000E3487">
            <w:pPr>
              <w:pStyle w:val="TableTextNoHanging"/>
            </w:pPr>
            <w:r w:rsidRPr="00EB2693">
              <w:t xml:space="preserve">XX </w:t>
            </w:r>
            <w:r w:rsidRPr="00EB2693">
              <w:br/>
              <w:t>XX</w:t>
            </w:r>
          </w:p>
          <w:p w14:paraId="1C72E76A" w14:textId="77777777" w:rsidR="0075665A" w:rsidRPr="00EB2693" w:rsidRDefault="0075665A" w:rsidP="000E3487">
            <w:pPr>
              <w:pStyle w:val="TableTextNoHanging"/>
            </w:pPr>
          </w:p>
          <w:p w14:paraId="7F249270" w14:textId="77777777" w:rsidR="0075665A" w:rsidRPr="00EB2693" w:rsidRDefault="0075665A" w:rsidP="000E3487">
            <w:pPr>
              <w:pStyle w:val="TableTextNoHanging"/>
              <w:rPr>
                <w:b/>
              </w:rPr>
            </w:pPr>
            <w:proofErr w:type="spellStart"/>
            <w:r w:rsidRPr="00EB2693">
              <w:t>Fritekstfelt</w:t>
            </w:r>
            <w:proofErr w:type="spellEnd"/>
            <w:r w:rsidRPr="00EB2693">
              <w:br/>
            </w:r>
          </w:p>
        </w:tc>
      </w:tr>
      <w:tr w:rsidR="0075665A" w:rsidRPr="00C61ED5" w14:paraId="0C4709F6" w14:textId="77777777" w:rsidTr="00635A1D">
        <w:tc>
          <w:tcPr>
            <w:tcW w:w="704" w:type="dxa"/>
          </w:tcPr>
          <w:p w14:paraId="1788CA69" w14:textId="77777777" w:rsidR="0075665A" w:rsidRPr="00C61ED5" w:rsidRDefault="0075665A" w:rsidP="000E3487">
            <w:pPr>
              <w:pStyle w:val="TableTextNoHanging"/>
            </w:pPr>
            <w:bookmarkStart w:id="1" w:name="_Hlk69197268"/>
            <w:bookmarkEnd w:id="0"/>
            <w:r>
              <w:lastRenderedPageBreak/>
              <w:t>2.</w:t>
            </w:r>
          </w:p>
        </w:tc>
        <w:tc>
          <w:tcPr>
            <w:tcW w:w="1559" w:type="dxa"/>
          </w:tcPr>
          <w:p w14:paraId="75C9DD9B" w14:textId="77777777" w:rsidR="0075665A" w:rsidRPr="00C61ED5" w:rsidRDefault="0075665A" w:rsidP="000E3487">
            <w:pPr>
              <w:pStyle w:val="TableTextNoHanging"/>
            </w:pPr>
            <w:r>
              <w:t>§ 2, nr. 4</w:t>
            </w:r>
          </w:p>
        </w:tc>
        <w:tc>
          <w:tcPr>
            <w:tcW w:w="2694" w:type="dxa"/>
            <w:gridSpan w:val="2"/>
          </w:tcPr>
          <w:p w14:paraId="5C477DBD" w14:textId="77777777" w:rsidR="0075665A" w:rsidRPr="005167BC" w:rsidRDefault="0075665A" w:rsidP="000E3487">
            <w:pPr>
              <w:pStyle w:val="TableTextNoHanging"/>
              <w:rPr>
                <w:lang w:val="da-DK"/>
              </w:rPr>
            </w:pPr>
            <w:r w:rsidRPr="005167BC">
              <w:rPr>
                <w:lang w:val="da-DK"/>
              </w:rPr>
              <w:t xml:space="preserve">2.1: </w:t>
            </w:r>
            <w:r w:rsidRPr="005167BC">
              <w:rPr>
                <w:rFonts w:eastAsia="Segoe UI" w:cs="Arial"/>
                <w:color w:val="333333"/>
                <w:lang w:val="da-DK"/>
              </w:rPr>
              <w:t>Vi har forespurgt ledelsen, om</w:t>
            </w:r>
            <w:r w:rsidRPr="005167BC">
              <w:rPr>
                <w:lang w:val="da-DK"/>
              </w:rPr>
              <w:t xml:space="preserve"> virksomheden har modtaget statslige, regionale eller kommunale tilskud til virksomhedens drift, som udgør halvdelen eller mere af virksomhedens ordinære driftsudgifter i den eller de regnskabsår som kompensationsperioden vedrører.</w:t>
            </w:r>
          </w:p>
        </w:tc>
        <w:tc>
          <w:tcPr>
            <w:tcW w:w="3969" w:type="dxa"/>
          </w:tcPr>
          <w:p w14:paraId="3DAFB45F" w14:textId="5599FD00" w:rsidR="0075665A" w:rsidRPr="005167BC" w:rsidRDefault="0075665A" w:rsidP="000E3487">
            <w:pPr>
              <w:pStyle w:val="TableTextNoHanging"/>
              <w:rPr>
                <w:lang w:val="da-DK"/>
              </w:rPr>
            </w:pPr>
            <w:r w:rsidRPr="005167BC">
              <w:rPr>
                <w:lang w:val="da-DK"/>
              </w:rPr>
              <w:t xml:space="preserve">2.1.1: Ledelsen har oplyst, at virksomheden ikke har modtaget statslige, regionale eller kommunale tilskud til virksomhedens drift, som </w:t>
            </w:r>
            <w:r w:rsidR="006E3E26" w:rsidRPr="005167BC">
              <w:rPr>
                <w:lang w:val="da-DK"/>
              </w:rPr>
              <w:t>udg</w:t>
            </w:r>
            <w:r w:rsidR="006E3E26">
              <w:rPr>
                <w:lang w:val="da-DK"/>
              </w:rPr>
              <w:t>jorde</w:t>
            </w:r>
            <w:r w:rsidR="006E3E26" w:rsidRPr="005167BC">
              <w:rPr>
                <w:lang w:val="da-DK"/>
              </w:rPr>
              <w:t xml:space="preserve"> </w:t>
            </w:r>
            <w:r w:rsidRPr="005167BC">
              <w:rPr>
                <w:lang w:val="da-DK"/>
              </w:rPr>
              <w:t xml:space="preserve">halvdelen eller mere af virksomhedens ordinære driftsudgifter i den eller de regnskabsår som kompensationsperioden </w:t>
            </w:r>
            <w:r w:rsidR="006E3E26" w:rsidRPr="005167BC">
              <w:rPr>
                <w:lang w:val="da-DK"/>
              </w:rPr>
              <w:t>vedrør</w:t>
            </w:r>
            <w:r w:rsidR="006E3E26">
              <w:rPr>
                <w:lang w:val="da-DK"/>
              </w:rPr>
              <w:t>te</w:t>
            </w:r>
            <w:r w:rsidRPr="005167BC">
              <w:rPr>
                <w:lang w:val="da-DK"/>
              </w:rPr>
              <w:t>.</w:t>
            </w:r>
          </w:p>
          <w:p w14:paraId="18A76BE4" w14:textId="77777777" w:rsidR="0075665A" w:rsidRPr="005167BC" w:rsidRDefault="0075665A" w:rsidP="000E3487">
            <w:pPr>
              <w:pStyle w:val="TableTextNoHanging"/>
              <w:rPr>
                <w:lang w:val="da-DK"/>
              </w:rPr>
            </w:pPr>
          </w:p>
          <w:p w14:paraId="69E2D953" w14:textId="4C97262F" w:rsidR="0075665A" w:rsidRPr="00846988" w:rsidRDefault="0075665A" w:rsidP="000E3487">
            <w:pPr>
              <w:pStyle w:val="TableTextNoHanging"/>
              <w:rPr>
                <w:lang w:val="da-DK"/>
              </w:rPr>
            </w:pPr>
            <w:r w:rsidRPr="005167BC">
              <w:rPr>
                <w:lang w:val="da-DK"/>
              </w:rPr>
              <w:t xml:space="preserve">2.1.2: Ledelsen har oplyst, at virksomheden har modtaget et samlet offentligt tilskud fra </w:t>
            </w:r>
            <w:r w:rsidRPr="005167BC">
              <w:rPr>
                <w:highlight w:val="yellow"/>
                <w:lang w:val="da-DK"/>
              </w:rPr>
              <w:t>[indsæt pulje/tilskudsordning/</w:t>
            </w:r>
            <w:proofErr w:type="spellStart"/>
            <w:r w:rsidRPr="005167BC">
              <w:rPr>
                <w:highlight w:val="yellow"/>
                <w:lang w:val="da-DK"/>
              </w:rPr>
              <w:t>etc</w:t>
            </w:r>
            <w:proofErr w:type="spellEnd"/>
            <w:r w:rsidRPr="005167BC">
              <w:rPr>
                <w:highlight w:val="yellow"/>
                <w:lang w:val="da-DK"/>
              </w:rPr>
              <w:t>]</w:t>
            </w:r>
            <w:r w:rsidRPr="005167BC">
              <w:rPr>
                <w:lang w:val="da-DK"/>
              </w:rPr>
              <w:t xml:space="preserve"> på kr. </w:t>
            </w:r>
            <w:r w:rsidRPr="005167BC">
              <w:rPr>
                <w:highlight w:val="yellow"/>
                <w:lang w:val="da-DK"/>
              </w:rPr>
              <w:t>xx</w:t>
            </w:r>
            <w:r w:rsidRPr="005167BC">
              <w:rPr>
                <w:lang w:val="da-DK"/>
              </w:rPr>
              <w:t xml:space="preserve">, der </w:t>
            </w:r>
            <w:r w:rsidR="006E3E26" w:rsidRPr="005167BC">
              <w:rPr>
                <w:lang w:val="da-DK"/>
              </w:rPr>
              <w:t>udg</w:t>
            </w:r>
            <w:r w:rsidR="006E3E26">
              <w:rPr>
                <w:lang w:val="da-DK"/>
              </w:rPr>
              <w:t>jorde</w:t>
            </w:r>
            <w:r w:rsidR="006E3E26" w:rsidRPr="005167BC">
              <w:rPr>
                <w:lang w:val="da-DK"/>
              </w:rPr>
              <w:t xml:space="preserve"> </w:t>
            </w:r>
            <w:r w:rsidRPr="005167BC">
              <w:rPr>
                <w:lang w:val="da-DK"/>
              </w:rPr>
              <w:t xml:space="preserve">halvdelen eller mere af virksomhedens ordinære driftsudgifter på kr. </w:t>
            </w:r>
            <w:r w:rsidRPr="005167BC">
              <w:rPr>
                <w:highlight w:val="yellow"/>
                <w:lang w:val="da-DK"/>
              </w:rPr>
              <w:t>xx</w:t>
            </w:r>
            <w:r w:rsidRPr="005167BC">
              <w:rPr>
                <w:lang w:val="da-DK"/>
              </w:rPr>
              <w:t xml:space="preserve">. </w:t>
            </w:r>
            <w:r w:rsidRPr="00846988">
              <w:rPr>
                <w:lang w:val="da-DK"/>
              </w:rPr>
              <w:t xml:space="preserve">I regnskabsår </w:t>
            </w:r>
            <w:r w:rsidRPr="00846988">
              <w:rPr>
                <w:highlight w:val="yellow"/>
                <w:lang w:val="da-DK"/>
              </w:rPr>
              <w:t>xx</w:t>
            </w:r>
          </w:p>
          <w:p w14:paraId="3EB83AA4" w14:textId="77777777" w:rsidR="0075665A" w:rsidRPr="00846988" w:rsidRDefault="0075665A" w:rsidP="000E3487">
            <w:pPr>
              <w:pStyle w:val="TableTextNoHanging"/>
              <w:rPr>
                <w:lang w:val="da-DK"/>
              </w:rPr>
            </w:pPr>
          </w:p>
          <w:p w14:paraId="3CAE7839" w14:textId="77777777" w:rsidR="0075665A" w:rsidRPr="00846988" w:rsidRDefault="0075665A" w:rsidP="000E3487">
            <w:pPr>
              <w:pStyle w:val="TableTextNoHanging"/>
              <w:rPr>
                <w:lang w:val="da-DK"/>
              </w:rPr>
            </w:pPr>
            <w:r w:rsidRPr="00846988">
              <w:rPr>
                <w:highlight w:val="yellow"/>
                <w:lang w:val="da-DK"/>
              </w:rPr>
              <w:t>Fritekst</w:t>
            </w:r>
            <w:r w:rsidRPr="00846988">
              <w:rPr>
                <w:lang w:val="da-DK"/>
              </w:rPr>
              <w:t>felt</w:t>
            </w:r>
            <w:r w:rsidRPr="00846988">
              <w:rPr>
                <w:lang w:val="da-DK"/>
              </w:rPr>
              <w:br/>
            </w:r>
          </w:p>
        </w:tc>
      </w:tr>
      <w:tr w:rsidR="00247328" w:rsidRPr="00ED08B9" w14:paraId="29C3A065" w14:textId="77777777" w:rsidTr="00635A1D">
        <w:tc>
          <w:tcPr>
            <w:tcW w:w="704" w:type="dxa"/>
          </w:tcPr>
          <w:p w14:paraId="171BA7E9" w14:textId="0A3E649B" w:rsidR="00247328" w:rsidRDefault="00247328" w:rsidP="00247328">
            <w:pPr>
              <w:pStyle w:val="TableTextNoHanging"/>
            </w:pPr>
            <w:r>
              <w:t>3</w:t>
            </w:r>
            <w:r w:rsidRPr="00D95C61">
              <w:t>.</w:t>
            </w:r>
          </w:p>
        </w:tc>
        <w:tc>
          <w:tcPr>
            <w:tcW w:w="1559" w:type="dxa"/>
          </w:tcPr>
          <w:p w14:paraId="1B0548D3" w14:textId="16A64994" w:rsidR="00247328" w:rsidRDefault="00247328" w:rsidP="00247328">
            <w:pPr>
              <w:pStyle w:val="TableTextNoHanging"/>
            </w:pPr>
            <w:r>
              <w:t>§ 3 stk. 5</w:t>
            </w:r>
          </w:p>
        </w:tc>
        <w:tc>
          <w:tcPr>
            <w:tcW w:w="2694" w:type="dxa"/>
            <w:gridSpan w:val="2"/>
          </w:tcPr>
          <w:p w14:paraId="0461803F" w14:textId="77777777" w:rsidR="00247328" w:rsidRPr="00846988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846988">
              <w:rPr>
                <w:lang w:val="da-DK"/>
              </w:rPr>
              <w:t>3.1:</w:t>
            </w:r>
            <w:r w:rsidRPr="00846988">
              <w:rPr>
                <w:color w:val="212529"/>
                <w:lang w:val="da-DK"/>
              </w:rPr>
              <w:t xml:space="preserve"> Vi har undersøgt, om den samlede nettoløn, som er fragået virksomhedens bankkonto, i de måneder som kompensationen vedrører, svarer til den registrerede nettoløn i virksomhedens eventuelle lønsystem og virksomhedens bogholderi, og at den bruttoløn som er grundlag for udbetaling er indberettet til </w:t>
            </w:r>
            <w:proofErr w:type="spellStart"/>
            <w:r w:rsidRPr="00846988">
              <w:rPr>
                <w:color w:val="212529"/>
                <w:lang w:val="da-DK"/>
              </w:rPr>
              <w:t>eIndkomst</w:t>
            </w:r>
            <w:proofErr w:type="spellEnd"/>
            <w:r w:rsidRPr="00846988">
              <w:rPr>
                <w:color w:val="212529"/>
                <w:lang w:val="da-DK"/>
              </w:rPr>
              <w:t xml:space="preserve">, </w:t>
            </w:r>
          </w:p>
          <w:p w14:paraId="2B819D52" w14:textId="77777777" w:rsidR="00247328" w:rsidRPr="00846988" w:rsidRDefault="00247328" w:rsidP="00247328">
            <w:pPr>
              <w:pStyle w:val="TableTextNoHanging"/>
              <w:rPr>
                <w:color w:val="212529"/>
                <w:lang w:val="da-DK"/>
              </w:rPr>
            </w:pPr>
          </w:p>
          <w:p w14:paraId="34C77C74" w14:textId="768EC0A9" w:rsidR="00247328" w:rsidRPr="0075665A" w:rsidRDefault="00247328" w:rsidP="00247328">
            <w:pPr>
              <w:pStyle w:val="TableTextNoHanging"/>
              <w:rPr>
                <w:lang w:val="da-DK"/>
              </w:rPr>
            </w:pPr>
          </w:p>
        </w:tc>
        <w:tc>
          <w:tcPr>
            <w:tcW w:w="3969" w:type="dxa"/>
          </w:tcPr>
          <w:p w14:paraId="267D219E" w14:textId="4A36F837" w:rsidR="00247328" w:rsidRPr="00846988" w:rsidRDefault="00247328" w:rsidP="00247328">
            <w:pPr>
              <w:pStyle w:val="TableTextNoHanging"/>
              <w:rPr>
                <w:lang w:val="da-DK"/>
              </w:rPr>
            </w:pPr>
            <w:r w:rsidRPr="00846988">
              <w:rPr>
                <w:lang w:val="da-DK"/>
              </w:rPr>
              <w:t xml:space="preserve">3.1.1: </w:t>
            </w:r>
            <w:r w:rsidRPr="00846988">
              <w:rPr>
                <w:color w:val="212529"/>
                <w:lang w:val="da-DK"/>
              </w:rPr>
              <w:t xml:space="preserve">Vi </w:t>
            </w:r>
            <w:r w:rsidR="00294ED6">
              <w:rPr>
                <w:color w:val="212529"/>
                <w:lang w:val="da-DK"/>
              </w:rPr>
              <w:t>fandt</w:t>
            </w:r>
            <w:r w:rsidRPr="00846988">
              <w:rPr>
                <w:color w:val="212529"/>
                <w:lang w:val="da-DK"/>
              </w:rPr>
              <w:t xml:space="preserve">, at den samlede nettoløn, som </w:t>
            </w:r>
            <w:r w:rsidR="006E3E26" w:rsidRPr="00846988">
              <w:rPr>
                <w:color w:val="212529"/>
                <w:lang w:val="da-DK"/>
              </w:rPr>
              <w:t>frag</w:t>
            </w:r>
            <w:r w:rsidR="006E3E26">
              <w:rPr>
                <w:color w:val="212529"/>
                <w:lang w:val="da-DK"/>
              </w:rPr>
              <w:t>ik</w:t>
            </w:r>
            <w:r w:rsidR="006E3E26" w:rsidRPr="00846988">
              <w:rPr>
                <w:color w:val="212529"/>
                <w:lang w:val="da-DK"/>
              </w:rPr>
              <w:t xml:space="preserve"> </w:t>
            </w:r>
            <w:r w:rsidRPr="00846988">
              <w:rPr>
                <w:color w:val="212529"/>
                <w:lang w:val="da-DK"/>
              </w:rPr>
              <w:t xml:space="preserve">virksomhedens bankkonto, i de måneder som kompensationen </w:t>
            </w:r>
            <w:r w:rsidR="009B5997" w:rsidRPr="00846988">
              <w:rPr>
                <w:color w:val="212529"/>
                <w:lang w:val="da-DK"/>
              </w:rPr>
              <w:t>vedrør</w:t>
            </w:r>
            <w:r w:rsidR="009B5997">
              <w:rPr>
                <w:color w:val="212529"/>
                <w:lang w:val="da-DK"/>
              </w:rPr>
              <w:t>te</w:t>
            </w:r>
            <w:r w:rsidR="009B5997" w:rsidRPr="00846988">
              <w:rPr>
                <w:color w:val="212529"/>
                <w:lang w:val="da-DK"/>
              </w:rPr>
              <w:t xml:space="preserve"> </w:t>
            </w:r>
            <w:r w:rsidRPr="00846988">
              <w:rPr>
                <w:highlight w:val="yellow"/>
                <w:lang w:val="da-DK"/>
              </w:rPr>
              <w:t>[måned AA]</w:t>
            </w:r>
            <w:r w:rsidRPr="00846988">
              <w:rPr>
                <w:lang w:val="da-DK"/>
              </w:rPr>
              <w:t xml:space="preserve">, </w:t>
            </w:r>
            <w:r w:rsidRPr="00846988">
              <w:rPr>
                <w:highlight w:val="yellow"/>
                <w:lang w:val="da-DK"/>
              </w:rPr>
              <w:t>[måned BB]</w:t>
            </w:r>
            <w:r w:rsidRPr="00846988">
              <w:rPr>
                <w:lang w:val="da-DK"/>
              </w:rPr>
              <w:t xml:space="preserve">, </w:t>
            </w:r>
            <w:r w:rsidRPr="00846988">
              <w:rPr>
                <w:highlight w:val="yellow"/>
                <w:lang w:val="da-DK"/>
              </w:rPr>
              <w:t>[måned CC]</w:t>
            </w:r>
            <w:r w:rsidRPr="00846988">
              <w:rPr>
                <w:lang w:val="da-DK"/>
              </w:rPr>
              <w:t xml:space="preserve"> og </w:t>
            </w:r>
            <w:r w:rsidRPr="00846988">
              <w:rPr>
                <w:highlight w:val="yellow"/>
                <w:lang w:val="da-DK"/>
              </w:rPr>
              <w:t>[måned DD]</w:t>
            </w:r>
            <w:r w:rsidRPr="00846988">
              <w:rPr>
                <w:color w:val="212529"/>
                <w:lang w:val="da-DK"/>
              </w:rPr>
              <w:t>, svarer</w:t>
            </w:r>
            <w:r w:rsidR="006E3E26">
              <w:rPr>
                <w:color w:val="212529"/>
                <w:lang w:val="da-DK"/>
              </w:rPr>
              <w:t>ede</w:t>
            </w:r>
            <w:r w:rsidRPr="00846988">
              <w:rPr>
                <w:color w:val="212529"/>
                <w:lang w:val="da-DK"/>
              </w:rPr>
              <w:t xml:space="preserve"> til den registrerede nettoløn i virksomhedens eventuelle lønsystem og virksomhedens bogholderi og at den bruttoløn</w:t>
            </w:r>
            <w:r w:rsidR="002658C5">
              <w:rPr>
                <w:color w:val="212529"/>
                <w:lang w:val="da-DK"/>
              </w:rPr>
              <w:t>,</w:t>
            </w:r>
            <w:r w:rsidRPr="00846988">
              <w:rPr>
                <w:color w:val="212529"/>
                <w:lang w:val="da-DK"/>
              </w:rPr>
              <w:t xml:space="preserve"> som </w:t>
            </w:r>
            <w:r w:rsidR="006E3E26">
              <w:rPr>
                <w:color w:val="212529"/>
                <w:lang w:val="da-DK"/>
              </w:rPr>
              <w:t>var</w:t>
            </w:r>
            <w:r w:rsidR="006E3E26" w:rsidRPr="00846988">
              <w:rPr>
                <w:color w:val="212529"/>
                <w:lang w:val="da-DK"/>
              </w:rPr>
              <w:t xml:space="preserve"> </w:t>
            </w:r>
            <w:r w:rsidRPr="00846988">
              <w:rPr>
                <w:color w:val="212529"/>
                <w:lang w:val="da-DK"/>
              </w:rPr>
              <w:t>grundlag for udbetaling</w:t>
            </w:r>
            <w:r w:rsidR="002658C5">
              <w:rPr>
                <w:color w:val="212529"/>
                <w:lang w:val="da-DK"/>
              </w:rPr>
              <w:t>,</w:t>
            </w:r>
            <w:r w:rsidRPr="00846988">
              <w:rPr>
                <w:color w:val="212529"/>
                <w:lang w:val="da-DK"/>
              </w:rPr>
              <w:t xml:space="preserve"> </w:t>
            </w:r>
            <w:r w:rsidR="000D3343">
              <w:rPr>
                <w:color w:val="212529"/>
                <w:lang w:val="da-DK"/>
              </w:rPr>
              <w:t>var</w:t>
            </w:r>
            <w:r w:rsidR="000D3343" w:rsidRPr="00846988">
              <w:rPr>
                <w:color w:val="212529"/>
                <w:lang w:val="da-DK"/>
              </w:rPr>
              <w:t xml:space="preserve"> </w:t>
            </w:r>
            <w:r w:rsidRPr="00846988">
              <w:rPr>
                <w:color w:val="212529"/>
                <w:lang w:val="da-DK"/>
              </w:rPr>
              <w:t xml:space="preserve">indberettet til </w:t>
            </w:r>
            <w:proofErr w:type="spellStart"/>
            <w:r w:rsidRPr="00846988">
              <w:rPr>
                <w:color w:val="212529"/>
                <w:lang w:val="da-DK"/>
              </w:rPr>
              <w:t>eIndkomst</w:t>
            </w:r>
            <w:proofErr w:type="spellEnd"/>
            <w:r w:rsidRPr="00846988">
              <w:rPr>
                <w:color w:val="212529"/>
                <w:lang w:val="da-DK"/>
              </w:rPr>
              <w:t>.</w:t>
            </w:r>
            <w:r w:rsidRPr="00846988">
              <w:rPr>
                <w:color w:val="212529"/>
                <w:lang w:val="da-DK"/>
              </w:rPr>
              <w:br/>
            </w:r>
          </w:p>
          <w:p w14:paraId="297F612C" w14:textId="518120A3" w:rsidR="00247328" w:rsidRPr="00846988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846988">
              <w:rPr>
                <w:lang w:val="da-DK"/>
              </w:rPr>
              <w:t xml:space="preserve">3.1.2: </w:t>
            </w:r>
            <w:r w:rsidRPr="00846988">
              <w:rPr>
                <w:color w:val="212529"/>
                <w:lang w:val="da-DK"/>
              </w:rPr>
              <w:t xml:space="preserve">Vi </w:t>
            </w:r>
            <w:r w:rsidR="00294ED6">
              <w:rPr>
                <w:color w:val="212529"/>
                <w:lang w:val="da-DK"/>
              </w:rPr>
              <w:t>fandt</w:t>
            </w:r>
            <w:r w:rsidRPr="00846988">
              <w:rPr>
                <w:color w:val="212529"/>
                <w:lang w:val="da-DK"/>
              </w:rPr>
              <w:t xml:space="preserve">, at den samlede nettoløn, som </w:t>
            </w:r>
            <w:r w:rsidR="000D3343">
              <w:rPr>
                <w:color w:val="212529"/>
                <w:lang w:val="da-DK"/>
              </w:rPr>
              <w:t>fragik</w:t>
            </w:r>
            <w:r w:rsidRPr="00846988">
              <w:rPr>
                <w:color w:val="212529"/>
                <w:lang w:val="da-DK"/>
              </w:rPr>
              <w:t xml:space="preserve"> virksomhedens bankkonto, i de måneder som kompensationen </w:t>
            </w:r>
            <w:r w:rsidR="009B5997" w:rsidRPr="00846988">
              <w:rPr>
                <w:color w:val="212529"/>
                <w:lang w:val="da-DK"/>
              </w:rPr>
              <w:t>vedrør</w:t>
            </w:r>
            <w:r w:rsidR="009B5997">
              <w:rPr>
                <w:color w:val="212529"/>
                <w:lang w:val="da-DK"/>
              </w:rPr>
              <w:t>te</w:t>
            </w:r>
            <w:r w:rsidR="009B5997" w:rsidRPr="00846988">
              <w:rPr>
                <w:color w:val="212529"/>
                <w:lang w:val="da-DK"/>
              </w:rPr>
              <w:t xml:space="preserve"> </w:t>
            </w:r>
            <w:r w:rsidRPr="00846988">
              <w:rPr>
                <w:highlight w:val="yellow"/>
                <w:lang w:val="da-DK"/>
              </w:rPr>
              <w:t>[måned AA]</w:t>
            </w:r>
            <w:r w:rsidRPr="00846988">
              <w:rPr>
                <w:lang w:val="da-DK"/>
              </w:rPr>
              <w:t xml:space="preserve">, </w:t>
            </w:r>
            <w:r w:rsidRPr="00846988">
              <w:rPr>
                <w:highlight w:val="yellow"/>
                <w:lang w:val="da-DK"/>
              </w:rPr>
              <w:t>[måned BB]</w:t>
            </w:r>
            <w:r w:rsidRPr="00846988">
              <w:rPr>
                <w:lang w:val="da-DK"/>
              </w:rPr>
              <w:t xml:space="preserve">, </w:t>
            </w:r>
            <w:r w:rsidRPr="00846988">
              <w:rPr>
                <w:highlight w:val="yellow"/>
                <w:lang w:val="da-DK"/>
              </w:rPr>
              <w:t>[måned CC]</w:t>
            </w:r>
            <w:r w:rsidRPr="00846988">
              <w:rPr>
                <w:lang w:val="da-DK"/>
              </w:rPr>
              <w:t xml:space="preserve"> og </w:t>
            </w:r>
            <w:r w:rsidRPr="00846988">
              <w:rPr>
                <w:highlight w:val="yellow"/>
                <w:lang w:val="da-DK"/>
              </w:rPr>
              <w:t>[måned DD]</w:t>
            </w:r>
            <w:r w:rsidRPr="00846988">
              <w:rPr>
                <w:color w:val="212529"/>
                <w:lang w:val="da-DK"/>
              </w:rPr>
              <w:t xml:space="preserve">, </w:t>
            </w:r>
            <w:r w:rsidR="009B5997">
              <w:rPr>
                <w:color w:val="212529"/>
                <w:lang w:val="da-DK"/>
              </w:rPr>
              <w:t>var</w:t>
            </w:r>
            <w:r w:rsidR="009B5997" w:rsidRPr="00846988">
              <w:rPr>
                <w:color w:val="212529"/>
                <w:lang w:val="da-DK"/>
              </w:rPr>
              <w:t xml:space="preserve"> </w:t>
            </w:r>
            <w:r w:rsidRPr="00846988">
              <w:rPr>
                <w:color w:val="212529"/>
                <w:highlight w:val="yellow"/>
                <w:lang w:val="da-DK"/>
              </w:rPr>
              <w:t>kr. XX</w:t>
            </w:r>
            <w:r w:rsidRPr="00846988">
              <w:rPr>
                <w:color w:val="212529"/>
                <w:lang w:val="da-DK"/>
              </w:rPr>
              <w:t xml:space="preserve"> mindre end den registrerede nettoløn i virksomhedens eventuelle lønsystem og virksomhedens bogholderi og den bruttoløn som </w:t>
            </w:r>
            <w:r w:rsidR="009B5997">
              <w:rPr>
                <w:color w:val="212529"/>
                <w:lang w:val="da-DK"/>
              </w:rPr>
              <w:t>var</w:t>
            </w:r>
            <w:r w:rsidR="009B5997" w:rsidRPr="00846988">
              <w:rPr>
                <w:color w:val="212529"/>
                <w:lang w:val="da-DK"/>
              </w:rPr>
              <w:t xml:space="preserve"> </w:t>
            </w:r>
            <w:r w:rsidRPr="00846988">
              <w:rPr>
                <w:color w:val="212529"/>
                <w:lang w:val="da-DK"/>
              </w:rPr>
              <w:t xml:space="preserve">indberettet til </w:t>
            </w:r>
            <w:proofErr w:type="spellStart"/>
            <w:r w:rsidRPr="00846988">
              <w:rPr>
                <w:color w:val="212529"/>
                <w:lang w:val="da-DK"/>
              </w:rPr>
              <w:t>eIndkomst</w:t>
            </w:r>
            <w:proofErr w:type="spellEnd"/>
            <w:r w:rsidRPr="00846988">
              <w:rPr>
                <w:color w:val="212529"/>
                <w:lang w:val="da-DK"/>
              </w:rPr>
              <w:t>.</w:t>
            </w:r>
          </w:p>
          <w:p w14:paraId="16BFA65C" w14:textId="77777777" w:rsidR="00247328" w:rsidRPr="00846988" w:rsidRDefault="00247328" w:rsidP="00247328">
            <w:pPr>
              <w:pStyle w:val="TableTextNoHanging"/>
              <w:rPr>
                <w:color w:val="212529"/>
                <w:lang w:val="da-DK"/>
              </w:rPr>
            </w:pPr>
          </w:p>
          <w:p w14:paraId="515DD4F0" w14:textId="77777777" w:rsidR="00247328" w:rsidRDefault="00247328" w:rsidP="00247328">
            <w:pPr>
              <w:pStyle w:val="TableTextNoHanging"/>
            </w:pPr>
            <w:proofErr w:type="spellStart"/>
            <w:r>
              <w:lastRenderedPageBreak/>
              <w:t>Fritekstfelt</w:t>
            </w:r>
            <w:proofErr w:type="spellEnd"/>
          </w:p>
          <w:p w14:paraId="63FE31A6" w14:textId="4E337605" w:rsidR="00247328" w:rsidRPr="00ED08B9" w:rsidRDefault="00247328" w:rsidP="00247328">
            <w:pPr>
              <w:pStyle w:val="TableTextNoHanging"/>
              <w:rPr>
                <w:color w:val="212529"/>
                <w:lang w:val="en-US"/>
              </w:rPr>
            </w:pPr>
          </w:p>
        </w:tc>
      </w:tr>
      <w:tr w:rsidR="00247328" w:rsidRPr="00ED08B9" w14:paraId="1087349A" w14:textId="77777777" w:rsidTr="00635A1D">
        <w:tc>
          <w:tcPr>
            <w:tcW w:w="704" w:type="dxa"/>
          </w:tcPr>
          <w:p w14:paraId="3154D672" w14:textId="5814CF88" w:rsidR="00247328" w:rsidRDefault="00247328" w:rsidP="00247328">
            <w:pPr>
              <w:pStyle w:val="TableTextNoHanging"/>
            </w:pPr>
            <w:r>
              <w:lastRenderedPageBreak/>
              <w:t>4.</w:t>
            </w:r>
          </w:p>
        </w:tc>
        <w:tc>
          <w:tcPr>
            <w:tcW w:w="1559" w:type="dxa"/>
          </w:tcPr>
          <w:p w14:paraId="316A6E65" w14:textId="77777777" w:rsidR="00247328" w:rsidRDefault="00247328" w:rsidP="00247328">
            <w:pPr>
              <w:pStyle w:val="TableTextNoHanging"/>
            </w:pPr>
            <w:r>
              <w:t>§ 10, stk. 1 nr. 1 og nr. 2</w:t>
            </w:r>
          </w:p>
          <w:p w14:paraId="1EB3ACBB" w14:textId="77777777" w:rsidR="00247328" w:rsidRDefault="00247328" w:rsidP="00247328">
            <w:pPr>
              <w:pStyle w:val="TableTextNoHanging"/>
            </w:pPr>
          </w:p>
        </w:tc>
        <w:tc>
          <w:tcPr>
            <w:tcW w:w="2694" w:type="dxa"/>
            <w:gridSpan w:val="2"/>
          </w:tcPr>
          <w:p w14:paraId="5B19F84C" w14:textId="5E122244" w:rsidR="00247328" w:rsidRPr="00A27D0B" w:rsidRDefault="00247328" w:rsidP="00247328">
            <w:pPr>
              <w:pStyle w:val="TableTextNoHanging"/>
              <w:rPr>
                <w:lang w:val="da-DK"/>
              </w:rPr>
            </w:pPr>
            <w:r w:rsidRPr="00A27D0B">
              <w:rPr>
                <w:lang w:val="da-DK"/>
              </w:rPr>
              <w:t>4.1. Vi har undersøgt om virksomheden har udarbejdet en opgørelse over medarbejdere, som har været hjemsendt i kompensationsperioden, indeholdende oplysninger om medarbejdernes hjemsendelsesperiode, inkl. oplysninger om i hvilket omfang medarbejderen har været kaldt tilbage på arbejde, eller har afholdt tjenestefri uden løn</w:t>
            </w:r>
            <w:r w:rsidR="009C0FA0">
              <w:rPr>
                <w:lang w:val="da-DK"/>
              </w:rPr>
              <w:t>.</w:t>
            </w:r>
          </w:p>
          <w:p w14:paraId="0E577320" w14:textId="77777777" w:rsidR="00247328" w:rsidRPr="00A27D0B" w:rsidRDefault="00247328" w:rsidP="00247328">
            <w:pPr>
              <w:pStyle w:val="TableTextNoHanging"/>
              <w:rPr>
                <w:lang w:val="da-DK"/>
              </w:rPr>
            </w:pPr>
          </w:p>
          <w:p w14:paraId="4BE83B3C" w14:textId="07ADC4EA" w:rsidR="00247328" w:rsidRPr="00A27D0B" w:rsidRDefault="00247328" w:rsidP="00247328">
            <w:pPr>
              <w:pStyle w:val="TableTextNoHanging"/>
              <w:rPr>
                <w:lang w:val="da-DK"/>
              </w:rPr>
            </w:pPr>
            <w:r w:rsidRPr="00A27D0B">
              <w:rPr>
                <w:lang w:val="da-DK"/>
              </w:rPr>
              <w:t>4.2. Vi har for de anviste stikprøver anmodet om en skriftlig bekræftelse fra medarbejderne på, at de har været hjemsendt i hjemsendelsesperioden, og evt. angivende genindkaldelsesdage er retvisende for at medarbejderen ikke har arbejdet på andre tidspunkter i hjemsendelsesperioden.</w:t>
            </w:r>
            <w:r w:rsidR="003D2ED6">
              <w:rPr>
                <w:lang w:val="da-DK"/>
              </w:rPr>
              <w:br/>
            </w:r>
            <w:r w:rsidR="00A318D5">
              <w:rPr>
                <w:lang w:val="da-DK"/>
              </w:rPr>
              <w:t xml:space="preserve">Stikprøverne prioriteres fra toppen af de udvalgte </w:t>
            </w:r>
            <w:r w:rsidR="00CF4C5F">
              <w:rPr>
                <w:lang w:val="da-DK"/>
              </w:rPr>
              <w:t>ansatte.</w:t>
            </w:r>
          </w:p>
          <w:p w14:paraId="273557DF" w14:textId="77777777" w:rsidR="00247328" w:rsidRPr="00A27D0B" w:rsidRDefault="00247328" w:rsidP="00247328">
            <w:pPr>
              <w:pStyle w:val="TableTextNoHanging"/>
              <w:rPr>
                <w:lang w:val="da-DK"/>
              </w:rPr>
            </w:pPr>
          </w:p>
          <w:p w14:paraId="6DF64930" w14:textId="056D686A" w:rsidR="00247328" w:rsidRPr="00247328" w:rsidRDefault="00247328" w:rsidP="00247328">
            <w:pPr>
              <w:pStyle w:val="TableTextNoHanging"/>
              <w:rPr>
                <w:lang w:val="da-DK"/>
              </w:rPr>
            </w:pPr>
            <w:r w:rsidRPr="00247328">
              <w:rPr>
                <w:lang w:val="da-DK"/>
              </w:rPr>
              <w:t xml:space="preserve">4.3. Vi har for de anviste stikprøver kontrolleret, at hjemsendelsesperioder og genindkaldelsesdage </w:t>
            </w:r>
            <w:r w:rsidR="00F7417E">
              <w:rPr>
                <w:lang w:val="da-DK"/>
              </w:rPr>
              <w:t xml:space="preserve">i </w:t>
            </w:r>
            <w:r w:rsidR="00D00A15">
              <w:rPr>
                <w:lang w:val="da-DK"/>
              </w:rPr>
              <w:t xml:space="preserve">virksomhedens opgørelse under handling 4.1, </w:t>
            </w:r>
            <w:r w:rsidRPr="00247328">
              <w:rPr>
                <w:lang w:val="da-DK"/>
              </w:rPr>
              <w:t xml:space="preserve">er i overensstemmelse med </w:t>
            </w:r>
            <w:r w:rsidR="009B1E39">
              <w:rPr>
                <w:lang w:val="da-DK"/>
              </w:rPr>
              <w:t xml:space="preserve">de </w:t>
            </w:r>
            <w:r w:rsidR="001B31C0" w:rsidRPr="00247328">
              <w:rPr>
                <w:lang w:val="da-DK"/>
              </w:rPr>
              <w:t>indberet</w:t>
            </w:r>
            <w:r w:rsidR="001B31C0">
              <w:rPr>
                <w:lang w:val="da-DK"/>
              </w:rPr>
              <w:t>tede</w:t>
            </w:r>
            <w:r w:rsidR="009B1E39">
              <w:rPr>
                <w:lang w:val="da-DK"/>
              </w:rPr>
              <w:t xml:space="preserve"> forhold </w:t>
            </w:r>
            <w:r w:rsidR="00B0476E">
              <w:rPr>
                <w:lang w:val="da-DK"/>
              </w:rPr>
              <w:t>der fremgår af sagsresum</w:t>
            </w:r>
            <w:r w:rsidR="00C972FA">
              <w:rPr>
                <w:lang w:val="da-DK"/>
              </w:rPr>
              <w:t xml:space="preserve">éet </w:t>
            </w:r>
            <w:r w:rsidRPr="00247328">
              <w:rPr>
                <w:lang w:val="da-DK"/>
              </w:rPr>
              <w:t xml:space="preserve">i virksomhedens slutafregning. </w:t>
            </w:r>
          </w:p>
        </w:tc>
        <w:tc>
          <w:tcPr>
            <w:tcW w:w="3969" w:type="dxa"/>
          </w:tcPr>
          <w:p w14:paraId="69AF7CB4" w14:textId="7AA1A4D7" w:rsidR="00247328" w:rsidRPr="00247328" w:rsidRDefault="00247328" w:rsidP="00247328">
            <w:pPr>
              <w:pStyle w:val="TableTextNoHanging"/>
              <w:rPr>
                <w:lang w:val="da-DK"/>
              </w:rPr>
            </w:pPr>
            <w:r w:rsidRPr="00247328">
              <w:rPr>
                <w:lang w:val="da-DK"/>
              </w:rPr>
              <w:t xml:space="preserve">4.1.1. Vi </w:t>
            </w:r>
            <w:r w:rsidR="00294ED6">
              <w:rPr>
                <w:lang w:val="da-DK"/>
              </w:rPr>
              <w:t>fandt</w:t>
            </w:r>
            <w:r w:rsidRPr="00247328">
              <w:rPr>
                <w:lang w:val="da-DK"/>
              </w:rPr>
              <w:t xml:space="preserve">, at virksomheden har udarbejdet en opgørelse over hvilke medarbejdere, der </w:t>
            </w:r>
            <w:r w:rsidR="0032510B">
              <w:rPr>
                <w:lang w:val="da-DK"/>
              </w:rPr>
              <w:t>var</w:t>
            </w:r>
            <w:r w:rsidRPr="00247328">
              <w:rPr>
                <w:lang w:val="da-DK"/>
              </w:rPr>
              <w:t xml:space="preserve"> hjemsendt i kompensationsperioden, inkl. oplysninger om i hvilket omfang medarbejderen har været kaldt tilbage på arbejde, eller afholdt tjenestefri uden løn, samt påset at der </w:t>
            </w:r>
            <w:r w:rsidR="0032510B">
              <w:rPr>
                <w:lang w:val="da-DK"/>
              </w:rPr>
              <w:t xml:space="preserve">var </w:t>
            </w:r>
            <w:r w:rsidRPr="00247328">
              <w:rPr>
                <w:lang w:val="da-DK"/>
              </w:rPr>
              <w:t>foretaget afstemning af opgørelsen til slutafregningen.</w:t>
            </w:r>
          </w:p>
          <w:p w14:paraId="0C50036C" w14:textId="77777777" w:rsidR="00247328" w:rsidRPr="00247328" w:rsidRDefault="00247328" w:rsidP="00247328">
            <w:pPr>
              <w:pStyle w:val="TableTextNoHanging"/>
              <w:rPr>
                <w:lang w:val="da-DK"/>
              </w:rPr>
            </w:pPr>
          </w:p>
          <w:p w14:paraId="74A00DA3" w14:textId="7E8F1F69" w:rsidR="00247328" w:rsidRPr="00247328" w:rsidRDefault="00247328" w:rsidP="00247328">
            <w:pPr>
              <w:pStyle w:val="TableTextNoHanging"/>
              <w:rPr>
                <w:lang w:val="da-DK"/>
              </w:rPr>
            </w:pPr>
            <w:r w:rsidRPr="523EEF78">
              <w:rPr>
                <w:lang w:val="da-DK"/>
              </w:rPr>
              <w:t>4.1.2: Fritekst</w:t>
            </w:r>
            <w:r w:rsidR="00406369" w:rsidRPr="523EEF78">
              <w:rPr>
                <w:lang w:val="da-DK"/>
              </w:rPr>
              <w:t xml:space="preserve"> (S</w:t>
            </w:r>
            <w:r w:rsidR="00E318CA" w:rsidRPr="0005518B">
              <w:rPr>
                <w:szCs w:val="18"/>
                <w:lang w:val="da-DK"/>
              </w:rPr>
              <w:t>åfremt der ikke er udarbejdet en egentlig opgø</w:t>
            </w:r>
            <w:r w:rsidR="00E318CA" w:rsidRPr="523EEF78">
              <w:rPr>
                <w:lang w:val="da-DK"/>
              </w:rPr>
              <w:t>relse</w:t>
            </w:r>
            <w:r w:rsidR="523EEF78" w:rsidRPr="523EEF78">
              <w:rPr>
                <w:lang w:val="da-DK"/>
              </w:rPr>
              <w:t xml:space="preserve"> kan der evt.</w:t>
            </w:r>
            <w:r w:rsidR="00522FD0" w:rsidRPr="523EEF78">
              <w:rPr>
                <w:lang w:val="da-DK"/>
              </w:rPr>
              <w:t xml:space="preserve">. </w:t>
            </w:r>
            <w:r w:rsidRPr="4B654167">
              <w:rPr>
                <w:lang w:val="da-DK"/>
              </w:rPr>
              <w:t>k</w:t>
            </w:r>
            <w:r w:rsidR="004F3B38" w:rsidRPr="4B654167">
              <w:rPr>
                <w:lang w:val="da-DK"/>
              </w:rPr>
              <w:t>ort</w:t>
            </w:r>
            <w:r w:rsidR="004F3B38" w:rsidRPr="523EEF78">
              <w:rPr>
                <w:lang w:val="da-DK"/>
              </w:rPr>
              <w:t xml:space="preserve"> </w:t>
            </w:r>
            <w:r w:rsidR="004F3B38" w:rsidRPr="1574FC26">
              <w:rPr>
                <w:lang w:val="da-DK"/>
              </w:rPr>
              <w:t>gøres</w:t>
            </w:r>
            <w:r w:rsidR="004F3B38">
              <w:rPr>
                <w:lang w:val="da-DK"/>
              </w:rPr>
              <w:t xml:space="preserve"> rede </w:t>
            </w:r>
            <w:r w:rsidR="004F3B38" w:rsidRPr="2B053DBB">
              <w:rPr>
                <w:lang w:val="da-DK"/>
              </w:rPr>
              <w:t>for,</w:t>
            </w:r>
            <w:r w:rsidR="004F3B38">
              <w:rPr>
                <w:lang w:val="da-DK"/>
              </w:rPr>
              <w:t xml:space="preserve"> hvordan virksomheden har op</w:t>
            </w:r>
            <w:r w:rsidR="00150314">
              <w:rPr>
                <w:lang w:val="da-DK"/>
              </w:rPr>
              <w:t xml:space="preserve">bevaret data eller information om hjemsendelsesperioder og evt. genindkaldelsesdage </w:t>
            </w:r>
            <w:r w:rsidR="00AB3F07">
              <w:rPr>
                <w:lang w:val="da-DK"/>
              </w:rPr>
              <w:t>for de ansatte</w:t>
            </w:r>
            <w:r w:rsidR="00E318CA">
              <w:rPr>
                <w:lang w:val="da-DK"/>
              </w:rPr>
              <w:t xml:space="preserve"> i time/lønsystemer eller andet</w:t>
            </w:r>
            <w:r w:rsidR="00DB34CB">
              <w:rPr>
                <w:lang w:val="da-DK"/>
              </w:rPr>
              <w:t>.</w:t>
            </w:r>
            <w:r w:rsidR="00612925">
              <w:rPr>
                <w:lang w:val="da-DK"/>
              </w:rPr>
              <w:t>)</w:t>
            </w:r>
            <w:r w:rsidR="00522FD0">
              <w:rPr>
                <w:lang w:val="da-DK"/>
              </w:rPr>
              <w:t xml:space="preserve"> </w:t>
            </w:r>
          </w:p>
          <w:p w14:paraId="3B382A64" w14:textId="77777777" w:rsidR="00247328" w:rsidRPr="00247328" w:rsidRDefault="00247328" w:rsidP="00247328">
            <w:pPr>
              <w:pStyle w:val="TableTextNoHanging"/>
              <w:rPr>
                <w:lang w:val="da-DK"/>
              </w:rPr>
            </w:pPr>
          </w:p>
          <w:p w14:paraId="74BF01B0" w14:textId="767184A0" w:rsidR="00247328" w:rsidRPr="00247328" w:rsidRDefault="00247328" w:rsidP="00247328">
            <w:pPr>
              <w:pStyle w:val="TableTextNoHanging"/>
              <w:rPr>
                <w:lang w:val="da-DK"/>
              </w:rPr>
            </w:pPr>
            <w:r w:rsidRPr="00247328">
              <w:rPr>
                <w:lang w:val="da-DK"/>
              </w:rPr>
              <w:t xml:space="preserve">4.2.1:  Vi har for de anviste stikprøver </w:t>
            </w:r>
            <w:r w:rsidR="00E4428B">
              <w:rPr>
                <w:lang w:val="da-DK"/>
              </w:rPr>
              <w:t>modtaget en</w:t>
            </w:r>
            <w:r w:rsidR="00E4428B" w:rsidRPr="00247328">
              <w:rPr>
                <w:lang w:val="da-DK"/>
              </w:rPr>
              <w:t xml:space="preserve"> </w:t>
            </w:r>
            <w:r w:rsidRPr="00247328">
              <w:rPr>
                <w:lang w:val="da-DK"/>
              </w:rPr>
              <w:t xml:space="preserve">skriftlig bekræftelse fra medarbejderne på, at de har været hjemsendt i den anførte kompensationsperiode samt, at </w:t>
            </w:r>
            <w:r w:rsidR="00E5037F">
              <w:rPr>
                <w:lang w:val="da-DK"/>
              </w:rPr>
              <w:t>medarbejd</w:t>
            </w:r>
            <w:r w:rsidR="00237D28">
              <w:rPr>
                <w:lang w:val="da-DK"/>
              </w:rPr>
              <w:t xml:space="preserve">erne </w:t>
            </w:r>
            <w:r w:rsidR="00351096">
              <w:rPr>
                <w:lang w:val="da-DK"/>
              </w:rPr>
              <w:t xml:space="preserve">kun har været genindkaldt på arbejde </w:t>
            </w:r>
            <w:r w:rsidR="005878F2">
              <w:rPr>
                <w:lang w:val="da-DK"/>
              </w:rPr>
              <w:t>i de dage der er anført som ”Genindkaldelsesdage”.</w:t>
            </w:r>
            <w:r w:rsidR="00D506BB">
              <w:rPr>
                <w:lang w:val="da-DK"/>
              </w:rPr>
              <w:t xml:space="preserve"> </w:t>
            </w:r>
            <w:r w:rsidRPr="00247328">
              <w:rPr>
                <w:lang w:val="da-DK"/>
              </w:rPr>
              <w:t xml:space="preserve"> i hjemsendelsesperioden. </w:t>
            </w:r>
          </w:p>
          <w:p w14:paraId="5EB0A217" w14:textId="4F95F03A" w:rsidR="00247328" w:rsidRDefault="00247328" w:rsidP="00247328">
            <w:pPr>
              <w:pStyle w:val="TableTextNoHanging"/>
              <w:rPr>
                <w:lang w:val="da-DK"/>
              </w:rPr>
            </w:pPr>
          </w:p>
          <w:p w14:paraId="462DC613" w14:textId="77777777" w:rsidR="00F873F4" w:rsidRPr="00247328" w:rsidRDefault="00F873F4" w:rsidP="00247328">
            <w:pPr>
              <w:pStyle w:val="TableTextNoHanging"/>
              <w:rPr>
                <w:lang w:val="da-DK"/>
              </w:rPr>
            </w:pPr>
          </w:p>
          <w:p w14:paraId="39472E96" w14:textId="77777777" w:rsidR="00247328" w:rsidRPr="00247328" w:rsidRDefault="00247328" w:rsidP="00247328">
            <w:pPr>
              <w:pStyle w:val="TableTextNoHanging"/>
              <w:rPr>
                <w:lang w:val="da-DK"/>
              </w:rPr>
            </w:pPr>
            <w:r w:rsidRPr="00247328">
              <w:rPr>
                <w:lang w:val="da-DK"/>
              </w:rPr>
              <w:t>4.2.2: Fritekst</w:t>
            </w:r>
            <w:r w:rsidRPr="00247328">
              <w:rPr>
                <w:lang w:val="da-DK"/>
              </w:rPr>
              <w:br/>
            </w:r>
            <w:r w:rsidRPr="00247328">
              <w:rPr>
                <w:highlight w:val="yellow"/>
                <w:lang w:val="da-DK"/>
              </w:rPr>
              <w:t>[Begrund hvorfor medarbejderen i stikprøvekontrollen ikke har kunne bekræfte de ansøgte forhold i slutafregningen eller eventuelle afvigelser.]</w:t>
            </w:r>
            <w:r w:rsidRPr="00247328">
              <w:rPr>
                <w:lang w:val="da-DK"/>
              </w:rPr>
              <w:br/>
            </w:r>
          </w:p>
          <w:p w14:paraId="7AD30F59" w14:textId="56B7A2EA" w:rsidR="00247328" w:rsidRPr="00247328" w:rsidRDefault="00247328" w:rsidP="00247328">
            <w:pPr>
              <w:pStyle w:val="TableTextNoHanging"/>
              <w:rPr>
                <w:lang w:val="da-DK"/>
              </w:rPr>
            </w:pPr>
            <w:r w:rsidRPr="00247328">
              <w:rPr>
                <w:lang w:val="da-DK"/>
              </w:rPr>
              <w:t xml:space="preserve">4.3.1: Vi </w:t>
            </w:r>
            <w:r w:rsidR="00294ED6">
              <w:rPr>
                <w:lang w:val="da-DK"/>
              </w:rPr>
              <w:t>fandt,</w:t>
            </w:r>
            <w:r w:rsidRPr="00247328">
              <w:rPr>
                <w:lang w:val="da-DK"/>
              </w:rPr>
              <w:t xml:space="preserve"> for de anviste stikprøver, at hjemsendelsesperioder og genindkaldelsesdage </w:t>
            </w:r>
            <w:r w:rsidR="00DA4A01">
              <w:rPr>
                <w:lang w:val="da-DK"/>
              </w:rPr>
              <w:t>modsvarer</w:t>
            </w:r>
            <w:r w:rsidR="0032510B">
              <w:rPr>
                <w:lang w:val="da-DK"/>
              </w:rPr>
              <w:t>ede</w:t>
            </w:r>
            <w:r w:rsidR="00DA4A01">
              <w:rPr>
                <w:lang w:val="da-DK"/>
              </w:rPr>
              <w:t xml:space="preserve"> </w:t>
            </w:r>
            <w:r w:rsidR="00477876">
              <w:rPr>
                <w:lang w:val="da-DK"/>
              </w:rPr>
              <w:t>virksomhedens indberetning i slutafregningen.</w:t>
            </w:r>
            <w:r w:rsidRPr="00247328">
              <w:rPr>
                <w:lang w:val="da-DK"/>
              </w:rPr>
              <w:t xml:space="preserve"> </w:t>
            </w:r>
          </w:p>
          <w:p w14:paraId="0E00C7E4" w14:textId="77777777" w:rsidR="00247328" w:rsidRPr="00247328" w:rsidRDefault="00247328" w:rsidP="00247328">
            <w:pPr>
              <w:pStyle w:val="TableTextNoHanging"/>
              <w:rPr>
                <w:lang w:val="da-DK"/>
              </w:rPr>
            </w:pPr>
          </w:p>
          <w:p w14:paraId="4F01215C" w14:textId="77777777" w:rsidR="00247328" w:rsidRDefault="00247328" w:rsidP="00247328">
            <w:pPr>
              <w:pStyle w:val="TableTextNoHanging"/>
            </w:pPr>
            <w:r>
              <w:t xml:space="preserve">4.3.2: </w:t>
            </w:r>
            <w:proofErr w:type="spellStart"/>
            <w:r>
              <w:t>Fritekst</w:t>
            </w:r>
            <w:proofErr w:type="spellEnd"/>
          </w:p>
          <w:p w14:paraId="7969B4B7" w14:textId="77777777" w:rsidR="00247328" w:rsidRDefault="00247328" w:rsidP="00247328">
            <w:pPr>
              <w:pStyle w:val="TableTextNoHanging"/>
            </w:pPr>
          </w:p>
          <w:p w14:paraId="1C62ACAD" w14:textId="6746B8B4" w:rsidR="00247328" w:rsidRDefault="00247328" w:rsidP="00247328">
            <w:pPr>
              <w:pStyle w:val="TableTextNoHanging"/>
            </w:pPr>
            <w:proofErr w:type="spellStart"/>
            <w:r>
              <w:t>Fritekstfelt</w:t>
            </w:r>
            <w:proofErr w:type="spellEnd"/>
          </w:p>
        </w:tc>
      </w:tr>
      <w:tr w:rsidR="00247328" w:rsidRPr="00ED08B9" w14:paraId="2762B2B3" w14:textId="77777777" w:rsidTr="00635A1D">
        <w:tc>
          <w:tcPr>
            <w:tcW w:w="704" w:type="dxa"/>
          </w:tcPr>
          <w:p w14:paraId="47EDC032" w14:textId="44E05938" w:rsidR="00247328" w:rsidRDefault="00247328" w:rsidP="00247328">
            <w:pPr>
              <w:pStyle w:val="TableTextNoHanging"/>
            </w:pPr>
            <w:r>
              <w:rPr>
                <w:lang w:val="en-GB"/>
              </w:rPr>
              <w:t>5.</w:t>
            </w:r>
          </w:p>
        </w:tc>
        <w:tc>
          <w:tcPr>
            <w:tcW w:w="1559" w:type="dxa"/>
          </w:tcPr>
          <w:p w14:paraId="06F314B6" w14:textId="6DCB9068" w:rsidR="00247328" w:rsidRDefault="00247328" w:rsidP="00247328">
            <w:pPr>
              <w:pStyle w:val="TableTextNoHanging"/>
            </w:pPr>
            <w:r>
              <w:t>§ 7, stk. 1, nr. 3</w:t>
            </w:r>
          </w:p>
        </w:tc>
        <w:tc>
          <w:tcPr>
            <w:tcW w:w="2694" w:type="dxa"/>
            <w:gridSpan w:val="2"/>
          </w:tcPr>
          <w:p w14:paraId="366E35BA" w14:textId="356FE888" w:rsidR="00247328" w:rsidRPr="00247328" w:rsidRDefault="00247328" w:rsidP="00247328">
            <w:pPr>
              <w:pStyle w:val="TableTextNoHanging"/>
              <w:rPr>
                <w:lang w:val="da-DK"/>
              </w:rPr>
            </w:pPr>
            <w:r w:rsidRPr="00247328">
              <w:rPr>
                <w:lang w:val="da-DK"/>
              </w:rPr>
              <w:t>5.1: For de anviste stikprøver har vi undersøgt om ansættelsesvilkårene, som er angivet i slutafregningen, dvs. om medarbejderen er ansat som funktionær, ikke-funktionær eller elev/lærling, er i overensstemmelse med kontraktforholdene i medarbejderes ansættelseskontrakter, som vi har modtaget fra ledelsen.</w:t>
            </w:r>
          </w:p>
        </w:tc>
        <w:tc>
          <w:tcPr>
            <w:tcW w:w="3969" w:type="dxa"/>
          </w:tcPr>
          <w:p w14:paraId="213881E6" w14:textId="27126220" w:rsidR="00247328" w:rsidRPr="00004FE6" w:rsidRDefault="00247328" w:rsidP="00247328">
            <w:pPr>
              <w:pStyle w:val="TableTextNoHanging"/>
              <w:rPr>
                <w:lang w:val="da-DK"/>
              </w:rPr>
            </w:pPr>
            <w:r w:rsidRPr="00004FE6">
              <w:rPr>
                <w:lang w:val="da-DK"/>
              </w:rPr>
              <w:t xml:space="preserve">5.1.1: Vi </w:t>
            </w:r>
            <w:r w:rsidR="00E4428B">
              <w:rPr>
                <w:lang w:val="da-DK"/>
              </w:rPr>
              <w:t>fandt,</w:t>
            </w:r>
            <w:r w:rsidRPr="00004FE6">
              <w:rPr>
                <w:lang w:val="da-DK"/>
              </w:rPr>
              <w:t xml:space="preserve"> for den anviste stikprøve, at ansættelsesvilkårene, som angivet i slutafregningen, dvs. om medarbejderen </w:t>
            </w:r>
            <w:r w:rsidR="00647331">
              <w:rPr>
                <w:lang w:val="da-DK"/>
              </w:rPr>
              <w:t xml:space="preserve">i kompensationsperioden var </w:t>
            </w:r>
            <w:r w:rsidRPr="00004FE6">
              <w:rPr>
                <w:lang w:val="da-DK"/>
              </w:rPr>
              <w:t xml:space="preserve">ansat som funktionær, ikke-funktionær eller elev/lærling, </w:t>
            </w:r>
            <w:r w:rsidR="00A80581">
              <w:rPr>
                <w:lang w:val="da-DK"/>
              </w:rPr>
              <w:t>var</w:t>
            </w:r>
            <w:r w:rsidRPr="00004FE6">
              <w:rPr>
                <w:lang w:val="da-DK"/>
              </w:rPr>
              <w:t xml:space="preserve"> i overensstemmelse med kontraktforholdene i medarbejder</w:t>
            </w:r>
            <w:r w:rsidR="00A71110">
              <w:rPr>
                <w:lang w:val="da-DK"/>
              </w:rPr>
              <w:t>ne</w:t>
            </w:r>
            <w:r w:rsidRPr="00004FE6">
              <w:rPr>
                <w:lang w:val="da-DK"/>
              </w:rPr>
              <w:t>s ansættelseskontrakter, som vi har modtaget fra ledelsen.</w:t>
            </w:r>
          </w:p>
          <w:p w14:paraId="0FDC1BE4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</w:p>
          <w:p w14:paraId="0A26AA4F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  <w:r w:rsidRPr="00004FE6">
              <w:rPr>
                <w:lang w:val="da-DK"/>
              </w:rPr>
              <w:t xml:space="preserve">5..1.2: Fritekst: </w:t>
            </w:r>
            <w:r w:rsidRPr="00004FE6">
              <w:rPr>
                <w:highlight w:val="yellow"/>
                <w:lang w:val="da-DK"/>
              </w:rPr>
              <w:t>[Anfør eventuelle afvigelser.</w:t>
            </w:r>
            <w:r w:rsidRPr="00004FE6">
              <w:rPr>
                <w:highlight w:val="yellow"/>
                <w:lang w:val="da-DK"/>
              </w:rPr>
              <w:br/>
              <w:t>Navn, fødselsdato, ansøgt ansættelsesforhold, vurderet ansættelsesforhold]</w:t>
            </w:r>
            <w:r w:rsidRPr="00004FE6">
              <w:rPr>
                <w:lang w:val="da-DK"/>
              </w:rPr>
              <w:br/>
            </w:r>
          </w:p>
          <w:p w14:paraId="3D0FEF78" w14:textId="0860602F" w:rsidR="00247328" w:rsidRPr="00247328" w:rsidRDefault="00247328" w:rsidP="00247328">
            <w:pPr>
              <w:pStyle w:val="TableTextNoHanging"/>
            </w:pPr>
            <w:proofErr w:type="spellStart"/>
            <w:r>
              <w:lastRenderedPageBreak/>
              <w:t>Fritekstfelt</w:t>
            </w:r>
            <w:proofErr w:type="spellEnd"/>
          </w:p>
        </w:tc>
      </w:tr>
      <w:tr w:rsidR="00247328" w:rsidRPr="00ED08B9" w14:paraId="05CDD57A" w14:textId="77777777" w:rsidTr="00635A1D">
        <w:tc>
          <w:tcPr>
            <w:tcW w:w="704" w:type="dxa"/>
          </w:tcPr>
          <w:p w14:paraId="24335DFF" w14:textId="6FA369A0" w:rsidR="00247328" w:rsidRDefault="00247328" w:rsidP="00247328">
            <w:pPr>
              <w:pStyle w:val="TableTextNoHanging"/>
              <w:rPr>
                <w:lang w:val="en-GB"/>
              </w:rPr>
            </w:pPr>
            <w:r>
              <w:rPr>
                <w:lang w:val="en-GB"/>
              </w:rPr>
              <w:lastRenderedPageBreak/>
              <w:t>6.</w:t>
            </w:r>
          </w:p>
        </w:tc>
        <w:tc>
          <w:tcPr>
            <w:tcW w:w="1559" w:type="dxa"/>
          </w:tcPr>
          <w:p w14:paraId="6B18112A" w14:textId="77777777" w:rsidR="00247328" w:rsidRDefault="00247328" w:rsidP="00247328">
            <w:pPr>
              <w:pStyle w:val="TableTextNoHanging"/>
            </w:pPr>
            <w:r>
              <w:t xml:space="preserve">§ 10, stk. 1, nr. 5 </w:t>
            </w:r>
          </w:p>
          <w:p w14:paraId="61A9CB9D" w14:textId="77777777" w:rsidR="00247328" w:rsidRDefault="00247328" w:rsidP="00247328">
            <w:pPr>
              <w:pStyle w:val="TableTextNoHanging"/>
            </w:pPr>
          </w:p>
        </w:tc>
        <w:tc>
          <w:tcPr>
            <w:tcW w:w="2694" w:type="dxa"/>
            <w:gridSpan w:val="2"/>
          </w:tcPr>
          <w:p w14:paraId="155763C8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  <w:r w:rsidRPr="00004FE6">
              <w:rPr>
                <w:lang w:val="da-DK"/>
              </w:rPr>
              <w:t>6.1: Vi har anmodet om en skriftlig udtalelse fra virksomhedens ledelse om, at der ikke er varslet afskedigelser i kompensationsperioden, som følge af økonomiske årsager.</w:t>
            </w:r>
          </w:p>
          <w:p w14:paraId="549BBC4F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  <w:r w:rsidRPr="00004FE6">
              <w:rPr>
                <w:lang w:val="da-DK"/>
              </w:rPr>
              <w:t>6.2: I det omfang virksomheden har afskediget medarbejdere i kompensationsperioden, har vi anmodet om kopi af varslingsbreve for de berørte medarbejdere og undersøgt om det fremgår at afskedigelsen er sket med baggrund i økonomiske forhold.</w:t>
            </w:r>
          </w:p>
          <w:p w14:paraId="7593F591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</w:p>
          <w:p w14:paraId="4840B7D5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</w:p>
          <w:p w14:paraId="49F526EB" w14:textId="77777777" w:rsidR="00247328" w:rsidRPr="00247328" w:rsidRDefault="00247328" w:rsidP="00247328">
            <w:pPr>
              <w:pStyle w:val="TableTextNoHanging"/>
              <w:rPr>
                <w:lang w:val="da-DK"/>
              </w:rPr>
            </w:pPr>
          </w:p>
        </w:tc>
        <w:tc>
          <w:tcPr>
            <w:tcW w:w="3969" w:type="dxa"/>
          </w:tcPr>
          <w:p w14:paraId="75D93F77" w14:textId="34D8CDA6" w:rsidR="00247328" w:rsidRPr="00004FE6" w:rsidRDefault="00247328" w:rsidP="00247328">
            <w:pPr>
              <w:pStyle w:val="TableTextNoHanging"/>
              <w:rPr>
                <w:lang w:val="da-DK"/>
              </w:rPr>
            </w:pPr>
            <w:r w:rsidRPr="00004FE6">
              <w:rPr>
                <w:lang w:val="da-DK"/>
              </w:rPr>
              <w:t>6.1.1: Vi har</w:t>
            </w:r>
            <w:r w:rsidR="00B10ED6">
              <w:rPr>
                <w:lang w:val="da-DK"/>
              </w:rPr>
              <w:t xml:space="preserve"> </w:t>
            </w:r>
            <w:r w:rsidR="003E7BC5">
              <w:rPr>
                <w:lang w:val="da-DK"/>
              </w:rPr>
              <w:t xml:space="preserve">modtaget </w:t>
            </w:r>
            <w:r w:rsidR="003E7BC5" w:rsidRPr="00004FE6">
              <w:rPr>
                <w:lang w:val="da-DK"/>
              </w:rPr>
              <w:t>en</w:t>
            </w:r>
            <w:r w:rsidRPr="00004FE6">
              <w:rPr>
                <w:lang w:val="da-DK"/>
              </w:rPr>
              <w:t xml:space="preserve"> skriftlig udtalelse fra virksomhedens ledelse </w:t>
            </w:r>
            <w:r w:rsidR="006A2F6C">
              <w:rPr>
                <w:lang w:val="da-DK"/>
              </w:rPr>
              <w:t>s</w:t>
            </w:r>
            <w:r w:rsidRPr="00004FE6">
              <w:rPr>
                <w:lang w:val="da-DK"/>
              </w:rPr>
              <w:t>om</w:t>
            </w:r>
            <w:r w:rsidR="006A2F6C">
              <w:rPr>
                <w:lang w:val="da-DK"/>
              </w:rPr>
              <w:t xml:space="preserve"> bekræfte</w:t>
            </w:r>
            <w:r w:rsidR="000927D1">
              <w:rPr>
                <w:lang w:val="da-DK"/>
              </w:rPr>
              <w:t>de</w:t>
            </w:r>
            <w:r w:rsidRPr="00004FE6">
              <w:rPr>
                <w:lang w:val="da-DK"/>
              </w:rPr>
              <w:t xml:space="preserve">, at der ikke </w:t>
            </w:r>
            <w:r w:rsidR="006A2F6C">
              <w:rPr>
                <w:lang w:val="da-DK"/>
              </w:rPr>
              <w:t xml:space="preserve">har været </w:t>
            </w:r>
            <w:r w:rsidRPr="00004FE6">
              <w:rPr>
                <w:lang w:val="da-DK"/>
              </w:rPr>
              <w:t>varslet afskedigelser i kompensationsperioden, som følge af økonomiske årsager.</w:t>
            </w:r>
          </w:p>
          <w:p w14:paraId="2A64B74F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</w:p>
          <w:p w14:paraId="74D92DEF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  <w:r w:rsidRPr="00004FE6">
              <w:rPr>
                <w:lang w:val="da-DK"/>
              </w:rPr>
              <w:t>6.1.2: Fritekst</w:t>
            </w:r>
          </w:p>
          <w:p w14:paraId="4AC41AAA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</w:p>
          <w:p w14:paraId="7FA4DCBD" w14:textId="5C7454DC" w:rsidR="006D2545" w:rsidRPr="00004FE6" w:rsidRDefault="00247328" w:rsidP="006D2545">
            <w:pPr>
              <w:pStyle w:val="pf0"/>
              <w:rPr>
                <w:rFonts w:ascii="Arial" w:hAnsi="Arial"/>
                <w:sz w:val="18"/>
                <w:szCs w:val="20"/>
                <w:lang w:val="da-DK" w:eastAsia="en-US"/>
              </w:rPr>
            </w:pPr>
            <w:r w:rsidRPr="00004FE6">
              <w:rPr>
                <w:rFonts w:ascii="Arial" w:hAnsi="Arial"/>
                <w:sz w:val="18"/>
                <w:szCs w:val="20"/>
                <w:lang w:val="da-DK" w:eastAsia="en-US"/>
              </w:rPr>
              <w:t xml:space="preserve">6.2.1: </w:t>
            </w:r>
            <w:r w:rsidR="006D2545" w:rsidRPr="00004FE6">
              <w:rPr>
                <w:rFonts w:ascii="Arial" w:hAnsi="Arial"/>
                <w:sz w:val="18"/>
                <w:szCs w:val="20"/>
                <w:lang w:val="da-DK" w:eastAsia="en-US"/>
              </w:rPr>
              <w:t>Vi fandt</w:t>
            </w:r>
            <w:r w:rsidR="000927D1" w:rsidRPr="00004FE6">
              <w:rPr>
                <w:rFonts w:ascii="Arial" w:hAnsi="Arial"/>
                <w:sz w:val="18"/>
                <w:szCs w:val="20"/>
                <w:lang w:val="da-DK" w:eastAsia="en-US"/>
              </w:rPr>
              <w:t>,</w:t>
            </w:r>
            <w:r w:rsidR="006D2545" w:rsidRPr="00004FE6">
              <w:rPr>
                <w:rFonts w:ascii="Arial" w:hAnsi="Arial"/>
                <w:sz w:val="18"/>
                <w:szCs w:val="20"/>
                <w:lang w:val="da-DK" w:eastAsia="en-US"/>
              </w:rPr>
              <w:t xml:space="preserve"> at virksomheden ikke havde afskediget medarbejdere i kompensationsperioden</w:t>
            </w:r>
            <w:r w:rsidR="006D2545" w:rsidRPr="00004FE6">
              <w:rPr>
                <w:rFonts w:ascii="Arial" w:hAnsi="Arial"/>
                <w:szCs w:val="20"/>
                <w:lang w:val="da-DK" w:eastAsia="en-US"/>
              </w:rPr>
              <w:t>.</w:t>
            </w:r>
          </w:p>
          <w:p w14:paraId="0CBCAB87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</w:p>
          <w:p w14:paraId="0CE48D5C" w14:textId="4736C650" w:rsidR="006D2545" w:rsidRPr="00004FE6" w:rsidRDefault="00247328" w:rsidP="00004FE6">
            <w:pPr>
              <w:pStyle w:val="TableTextNoHanging"/>
              <w:rPr>
                <w:lang w:val="da-DK"/>
              </w:rPr>
            </w:pPr>
            <w:r w:rsidRPr="006D2545">
              <w:rPr>
                <w:lang w:val="da-DK"/>
              </w:rPr>
              <w:t xml:space="preserve">6.2.2: </w:t>
            </w:r>
            <w:r w:rsidR="006D2545" w:rsidRPr="00004FE6">
              <w:rPr>
                <w:lang w:val="da-DK"/>
              </w:rPr>
              <w:t xml:space="preserve">For medarbejdere afskediget i kompensationsperioden </w:t>
            </w:r>
            <w:r w:rsidR="00AB3334">
              <w:rPr>
                <w:lang w:val="da-DK"/>
              </w:rPr>
              <w:t xml:space="preserve">har vi modtaget </w:t>
            </w:r>
            <w:r w:rsidR="006D2545" w:rsidRPr="00004FE6">
              <w:rPr>
                <w:lang w:val="da-DK"/>
              </w:rPr>
              <w:t xml:space="preserve">kopi af varslingsbreve, hvoraf det ikke fremgik at afskedigelsen var sket med baggrund i økonomiske forhold. </w:t>
            </w:r>
          </w:p>
          <w:p w14:paraId="0F491EA1" w14:textId="370FBED1" w:rsidR="006D2545" w:rsidRDefault="006D2545" w:rsidP="00247328">
            <w:pPr>
              <w:pStyle w:val="TableTextNoHanging"/>
              <w:rPr>
                <w:lang w:val="da-DK"/>
              </w:rPr>
            </w:pPr>
          </w:p>
          <w:p w14:paraId="29BB2D2B" w14:textId="77777777" w:rsidR="006D2545" w:rsidRDefault="006D2545" w:rsidP="00247328">
            <w:pPr>
              <w:pStyle w:val="TableTextNoHanging"/>
              <w:rPr>
                <w:lang w:val="da-DK"/>
              </w:rPr>
            </w:pPr>
          </w:p>
          <w:p w14:paraId="3D0D1FF4" w14:textId="3E712370" w:rsidR="00247328" w:rsidRPr="00004FE6" w:rsidRDefault="00AA6503" w:rsidP="00247328">
            <w:pPr>
              <w:pStyle w:val="TableTextNoHanging"/>
              <w:rPr>
                <w:lang w:val="da-DK"/>
              </w:rPr>
            </w:pPr>
            <w:r>
              <w:rPr>
                <w:lang w:val="da-DK"/>
              </w:rPr>
              <w:t xml:space="preserve">6.2.3: </w:t>
            </w:r>
            <w:proofErr w:type="spellStart"/>
            <w:r w:rsidR="00247328" w:rsidRPr="006D2545">
              <w:t>Fritekst</w:t>
            </w:r>
            <w:proofErr w:type="spellEnd"/>
          </w:p>
          <w:p w14:paraId="3B8F992D" w14:textId="77777777" w:rsidR="00247328" w:rsidRPr="00004FE6" w:rsidRDefault="00247328" w:rsidP="00247328">
            <w:pPr>
              <w:pStyle w:val="TableTextNoHanging"/>
              <w:rPr>
                <w:lang w:val="da-DK"/>
              </w:rPr>
            </w:pPr>
          </w:p>
          <w:p w14:paraId="5CE2D9E4" w14:textId="0EF41C68" w:rsidR="00247328" w:rsidRPr="00004FE6" w:rsidRDefault="00247328" w:rsidP="00247328">
            <w:pPr>
              <w:pStyle w:val="TableTextNoHanging"/>
              <w:rPr>
                <w:lang w:val="da-DK"/>
              </w:rPr>
            </w:pPr>
            <w:proofErr w:type="spellStart"/>
            <w:r w:rsidRPr="006D2545">
              <w:t>Fritekstfelt</w:t>
            </w:r>
            <w:proofErr w:type="spellEnd"/>
          </w:p>
        </w:tc>
      </w:tr>
      <w:tr w:rsidR="00247328" w:rsidRPr="00ED08B9" w14:paraId="4A26E31F" w14:textId="77777777" w:rsidTr="00635A1D">
        <w:tc>
          <w:tcPr>
            <w:tcW w:w="704" w:type="dxa"/>
          </w:tcPr>
          <w:p w14:paraId="13BE9666" w14:textId="3ED2454D" w:rsidR="00247328" w:rsidRDefault="00247328" w:rsidP="00247328">
            <w:pPr>
              <w:pStyle w:val="TableTextNoHanging"/>
              <w:rPr>
                <w:lang w:val="en-GB"/>
              </w:rPr>
            </w:pPr>
            <w:r w:rsidRPr="00DC7F2D">
              <w:rPr>
                <w:lang w:val="en-GB"/>
              </w:rPr>
              <w:t>7.</w:t>
            </w:r>
          </w:p>
        </w:tc>
        <w:tc>
          <w:tcPr>
            <w:tcW w:w="1559" w:type="dxa"/>
          </w:tcPr>
          <w:p w14:paraId="119C904D" w14:textId="332604EB" w:rsidR="00247328" w:rsidRDefault="00247328" w:rsidP="00247328">
            <w:pPr>
              <w:pStyle w:val="TableTextNoHanging"/>
            </w:pPr>
            <w:r w:rsidRPr="00DC7F2D">
              <w:t>§</w:t>
            </w:r>
            <w:r>
              <w:t xml:space="preserve"> 10</w:t>
            </w:r>
            <w:r w:rsidRPr="00DC7F2D">
              <w:t xml:space="preserve"> stk.</w:t>
            </w:r>
            <w:r>
              <w:t xml:space="preserve"> 1. nr. 7</w:t>
            </w:r>
            <w:r>
              <w:rPr>
                <w:rStyle w:val="Fodnotehenvisning"/>
              </w:rPr>
              <w:footnoteReference w:id="2"/>
            </w:r>
          </w:p>
        </w:tc>
        <w:tc>
          <w:tcPr>
            <w:tcW w:w="2694" w:type="dxa"/>
            <w:gridSpan w:val="2"/>
          </w:tcPr>
          <w:p w14:paraId="0D09CF5A" w14:textId="0B424304" w:rsidR="00FF5E9A" w:rsidRPr="0005518B" w:rsidRDefault="00247328" w:rsidP="0005518B">
            <w:pPr>
              <w:pStyle w:val="TableTextNoHanging"/>
              <w:rPr>
                <w:rFonts w:eastAsia="Arial" w:cs="Arial"/>
                <w:szCs w:val="18"/>
                <w:lang w:val="da-DK"/>
              </w:rPr>
            </w:pPr>
            <w:r w:rsidRPr="0005518B">
              <w:rPr>
                <w:rFonts w:eastAsia="Arial" w:cs="Arial"/>
                <w:szCs w:val="18"/>
                <w:lang w:val="da-DK"/>
              </w:rPr>
              <w:t xml:space="preserve">7.1: </w:t>
            </w:r>
            <w:r w:rsidR="00FF5E9A" w:rsidRPr="0005518B">
              <w:rPr>
                <w:rFonts w:eastAsia="Arial" w:cs="Arial"/>
                <w:lang w:val="da-DK"/>
              </w:rPr>
              <w:t>Vi har med udgangspunkt</w:t>
            </w:r>
            <w:r w:rsidR="00FF5E9A">
              <w:rPr>
                <w:rFonts w:eastAsia="Arial" w:cs="Arial"/>
                <w:szCs w:val="18"/>
                <w:lang w:val="da-DK"/>
              </w:rPr>
              <w:t xml:space="preserve"> i</w:t>
            </w:r>
            <w:r w:rsidR="00FF5E9A" w:rsidRPr="0005518B">
              <w:rPr>
                <w:rFonts w:eastAsia="Arial" w:cs="Arial"/>
                <w:lang w:val="da-DK"/>
              </w:rPr>
              <w:t xml:space="preserve"> </w:t>
            </w:r>
            <w:r w:rsidR="006126F0">
              <w:rPr>
                <w:rFonts w:eastAsia="Arial" w:cs="Arial"/>
                <w:szCs w:val="18"/>
                <w:lang w:val="da-DK"/>
              </w:rPr>
              <w:t xml:space="preserve">virksomhedens </w:t>
            </w:r>
            <w:r w:rsidR="009376FC">
              <w:rPr>
                <w:rFonts w:eastAsia="Arial" w:cs="Arial"/>
                <w:szCs w:val="18"/>
                <w:lang w:val="da-DK"/>
              </w:rPr>
              <w:t>eller de omfattede p-enheders</w:t>
            </w:r>
            <w:r w:rsidR="0058038C">
              <w:rPr>
                <w:rFonts w:eastAsia="Arial" w:cs="Arial"/>
                <w:szCs w:val="18"/>
                <w:lang w:val="da-DK"/>
              </w:rPr>
              <w:t xml:space="preserve"> </w:t>
            </w:r>
            <w:r w:rsidR="00B17C23">
              <w:rPr>
                <w:rFonts w:eastAsia="Arial" w:cs="Arial"/>
                <w:szCs w:val="18"/>
                <w:lang w:val="da-DK"/>
              </w:rPr>
              <w:t>konto</w:t>
            </w:r>
            <w:r w:rsidR="00FF5E9A" w:rsidRPr="0005518B">
              <w:rPr>
                <w:rFonts w:eastAsia="Arial" w:cs="Arial"/>
                <w:lang w:val="da-DK"/>
              </w:rPr>
              <w:t xml:space="preserve">specifikationer for omsætningskonti </w:t>
            </w:r>
            <w:r w:rsidR="00955C1A">
              <w:rPr>
                <w:rFonts w:eastAsia="Arial" w:cs="Arial"/>
                <w:szCs w:val="18"/>
                <w:lang w:val="da-DK"/>
              </w:rPr>
              <w:t xml:space="preserve">undersøgt om </w:t>
            </w:r>
            <w:r w:rsidR="00BE1D95">
              <w:rPr>
                <w:rFonts w:eastAsia="Arial" w:cs="Arial"/>
                <w:szCs w:val="18"/>
                <w:lang w:val="da-DK"/>
              </w:rPr>
              <w:t xml:space="preserve">der fremgik bogført omsætning </w:t>
            </w:r>
            <w:r w:rsidR="009A5777">
              <w:rPr>
                <w:rFonts w:eastAsia="Arial" w:cs="Arial"/>
                <w:szCs w:val="18"/>
                <w:lang w:val="da-DK"/>
              </w:rPr>
              <w:t>som hidrører fra salg af vare- og tjenesteydelser</w:t>
            </w:r>
            <w:r w:rsidR="006940CD">
              <w:rPr>
                <w:rFonts w:eastAsia="Arial" w:cs="Arial"/>
                <w:szCs w:val="18"/>
                <w:lang w:val="da-DK"/>
              </w:rPr>
              <w:t xml:space="preserve"> </w:t>
            </w:r>
            <w:r w:rsidR="00731078">
              <w:rPr>
                <w:rFonts w:eastAsia="Arial" w:cs="Arial"/>
                <w:szCs w:val="18"/>
                <w:lang w:val="da-DK"/>
              </w:rPr>
              <w:t xml:space="preserve">i de udstillede perioder hvor virksomheden har haft forbud mod at holde </w:t>
            </w:r>
            <w:r w:rsidR="00306F6C">
              <w:rPr>
                <w:rFonts w:eastAsia="Arial" w:cs="Arial"/>
                <w:szCs w:val="18"/>
                <w:lang w:val="da-DK"/>
              </w:rPr>
              <w:t>åbent.</w:t>
            </w:r>
            <w:r w:rsidR="0058073D">
              <w:rPr>
                <w:rFonts w:eastAsia="Arial" w:cs="Arial"/>
                <w:szCs w:val="18"/>
                <w:lang w:val="da-DK"/>
              </w:rPr>
              <w:t xml:space="preserve"> Herunder </w:t>
            </w:r>
            <w:r w:rsidR="00294449">
              <w:rPr>
                <w:rFonts w:eastAsia="Arial" w:cs="Arial"/>
                <w:szCs w:val="18"/>
                <w:lang w:val="da-DK"/>
              </w:rPr>
              <w:t>transaktioner</w:t>
            </w:r>
            <w:r w:rsidR="0058073D">
              <w:rPr>
                <w:rFonts w:eastAsia="Arial" w:cs="Arial"/>
                <w:szCs w:val="18"/>
                <w:lang w:val="da-DK"/>
              </w:rPr>
              <w:t xml:space="preserve"> som </w:t>
            </w:r>
            <w:r w:rsidR="00294449">
              <w:rPr>
                <w:rFonts w:eastAsia="Arial" w:cs="Arial"/>
                <w:szCs w:val="18"/>
                <w:lang w:val="da-DK"/>
              </w:rPr>
              <w:t>var annulleret, omposteret eller kredit</w:t>
            </w:r>
            <w:r w:rsidR="00640DFC">
              <w:rPr>
                <w:rFonts w:eastAsia="Arial" w:cs="Arial"/>
                <w:szCs w:val="18"/>
                <w:lang w:val="da-DK"/>
              </w:rPr>
              <w:t xml:space="preserve">notaer til udligning af </w:t>
            </w:r>
            <w:r w:rsidR="003E1736">
              <w:rPr>
                <w:rFonts w:eastAsia="Arial" w:cs="Arial"/>
                <w:szCs w:val="18"/>
                <w:lang w:val="da-DK"/>
              </w:rPr>
              <w:t>udstedt faktura i perioden hvor virksomheden har haft forbud mod at holde åbent.</w:t>
            </w:r>
            <w:r w:rsidR="00294449">
              <w:rPr>
                <w:rFonts w:eastAsia="Arial" w:cs="Arial"/>
                <w:szCs w:val="18"/>
                <w:lang w:val="da-DK"/>
              </w:rPr>
              <w:t xml:space="preserve"> </w:t>
            </w:r>
          </w:p>
          <w:p w14:paraId="64CA7E8A" w14:textId="55F937E2" w:rsidR="00241128" w:rsidRDefault="00241128" w:rsidP="00247328">
            <w:pPr>
              <w:pStyle w:val="TableTextNoHanging"/>
              <w:rPr>
                <w:rFonts w:eastAsia="Arial" w:cs="Arial"/>
                <w:szCs w:val="18"/>
                <w:lang w:val="da-DK"/>
              </w:rPr>
            </w:pPr>
            <w:r>
              <w:rPr>
                <w:rFonts w:eastAsia="Arial" w:cs="Arial"/>
                <w:szCs w:val="18"/>
                <w:lang w:val="da-DK"/>
              </w:rPr>
              <w:t>7.</w:t>
            </w:r>
            <w:r w:rsidR="001523A8">
              <w:rPr>
                <w:rFonts w:eastAsia="Arial" w:cs="Arial"/>
                <w:szCs w:val="18"/>
                <w:lang w:val="da-DK"/>
              </w:rPr>
              <w:t>2</w:t>
            </w:r>
            <w:r>
              <w:rPr>
                <w:rFonts w:eastAsia="Arial" w:cs="Arial"/>
                <w:szCs w:val="18"/>
                <w:lang w:val="da-DK"/>
              </w:rPr>
              <w:t xml:space="preserve">: </w:t>
            </w:r>
            <w:r w:rsidR="00A57A2A">
              <w:rPr>
                <w:rFonts w:eastAsia="Arial" w:cs="Arial"/>
                <w:szCs w:val="18"/>
                <w:lang w:val="da-DK"/>
              </w:rPr>
              <w:t xml:space="preserve">Vi har undersøgt virksomhedens bankkonti om der i de anførte perioder </w:t>
            </w:r>
            <w:r w:rsidR="00B22CFB">
              <w:rPr>
                <w:rFonts w:eastAsia="Arial" w:cs="Arial"/>
                <w:szCs w:val="18"/>
                <w:lang w:val="da-DK"/>
              </w:rPr>
              <w:t xml:space="preserve">er modtaget betaling af faktura, </w:t>
            </w:r>
            <w:r w:rsidR="006C561F">
              <w:rPr>
                <w:rFonts w:eastAsia="Arial" w:cs="Arial"/>
                <w:szCs w:val="18"/>
                <w:lang w:val="da-DK"/>
              </w:rPr>
              <w:t>foretaget konta</w:t>
            </w:r>
            <w:r w:rsidR="00931EFB">
              <w:rPr>
                <w:rFonts w:eastAsia="Arial" w:cs="Arial"/>
                <w:szCs w:val="18"/>
                <w:lang w:val="da-DK"/>
              </w:rPr>
              <w:t xml:space="preserve">nte </w:t>
            </w:r>
            <w:r w:rsidR="00D1714A">
              <w:rPr>
                <w:rFonts w:eastAsia="Arial" w:cs="Arial"/>
                <w:szCs w:val="18"/>
                <w:lang w:val="da-DK"/>
              </w:rPr>
              <w:t xml:space="preserve">indbetalinger, </w:t>
            </w:r>
            <w:r w:rsidR="00B22CFB">
              <w:rPr>
                <w:rFonts w:eastAsia="Arial" w:cs="Arial"/>
                <w:szCs w:val="18"/>
                <w:lang w:val="da-DK"/>
              </w:rPr>
              <w:t>indbetalinger fra Mobil pay eller andre be</w:t>
            </w:r>
            <w:r w:rsidR="00F3683E">
              <w:rPr>
                <w:rFonts w:eastAsia="Arial" w:cs="Arial"/>
                <w:szCs w:val="18"/>
                <w:lang w:val="da-DK"/>
              </w:rPr>
              <w:t>talingstjenester</w:t>
            </w:r>
            <w:r w:rsidR="00D1714A">
              <w:rPr>
                <w:rFonts w:eastAsia="Arial" w:cs="Arial"/>
                <w:szCs w:val="18"/>
                <w:lang w:val="da-DK"/>
              </w:rPr>
              <w:t xml:space="preserve"> som </w:t>
            </w:r>
            <w:r w:rsidR="00891270">
              <w:rPr>
                <w:rFonts w:eastAsia="Arial" w:cs="Arial"/>
                <w:szCs w:val="18"/>
                <w:lang w:val="da-DK"/>
              </w:rPr>
              <w:t>hidrører fra</w:t>
            </w:r>
            <w:r w:rsidR="00E43EF9">
              <w:rPr>
                <w:rFonts w:eastAsia="Arial" w:cs="Arial"/>
                <w:szCs w:val="18"/>
                <w:lang w:val="da-DK"/>
              </w:rPr>
              <w:t xml:space="preserve">. </w:t>
            </w:r>
            <w:r w:rsidR="005D58EC">
              <w:rPr>
                <w:rFonts w:eastAsia="Arial" w:cs="Arial"/>
                <w:szCs w:val="18"/>
                <w:lang w:val="da-DK"/>
              </w:rPr>
              <w:t>salg af vare- og tjenesteydelser</w:t>
            </w:r>
            <w:r w:rsidR="000F4613">
              <w:rPr>
                <w:rFonts w:eastAsia="Arial" w:cs="Arial"/>
                <w:szCs w:val="18"/>
                <w:lang w:val="da-DK"/>
              </w:rPr>
              <w:t xml:space="preserve"> i de anførte perioder.</w:t>
            </w:r>
            <w:r w:rsidR="005D58EC">
              <w:rPr>
                <w:rFonts w:eastAsia="Arial" w:cs="Arial"/>
                <w:szCs w:val="18"/>
                <w:lang w:val="da-DK"/>
              </w:rPr>
              <w:t xml:space="preserve"> </w:t>
            </w:r>
          </w:p>
          <w:p w14:paraId="3E588F82" w14:textId="7A0DBB6E" w:rsidR="007A4F15" w:rsidRPr="00247328" w:rsidRDefault="007A4F15" w:rsidP="00247328">
            <w:pPr>
              <w:pStyle w:val="TableTextNoHanging"/>
              <w:rPr>
                <w:lang w:val="da-DK"/>
              </w:rPr>
            </w:pPr>
          </w:p>
        </w:tc>
        <w:tc>
          <w:tcPr>
            <w:tcW w:w="3969" w:type="dxa"/>
          </w:tcPr>
          <w:p w14:paraId="06FD535A" w14:textId="69CD4098" w:rsidR="00C76586" w:rsidRPr="00135937" w:rsidRDefault="00247328" w:rsidP="00C76586">
            <w:pPr>
              <w:pStyle w:val="TableTextNoHanging"/>
              <w:rPr>
                <w:rFonts w:eastAsia="Arial" w:cs="Arial"/>
                <w:szCs w:val="18"/>
                <w:lang w:val="da-DK"/>
              </w:rPr>
            </w:pPr>
            <w:r w:rsidRPr="0005518B">
              <w:rPr>
                <w:lang w:val="da-DK"/>
              </w:rPr>
              <w:t xml:space="preserve">7.1.1: </w:t>
            </w:r>
            <w:r w:rsidR="00AA7239" w:rsidRPr="00135937">
              <w:rPr>
                <w:rFonts w:eastAsia="Arial" w:cs="Arial"/>
                <w:szCs w:val="18"/>
                <w:lang w:val="da-DK"/>
              </w:rPr>
              <w:t xml:space="preserve"> </w:t>
            </w:r>
            <w:r w:rsidR="00294449" w:rsidRPr="00135937">
              <w:rPr>
                <w:rFonts w:eastAsia="Arial" w:cs="Arial"/>
                <w:szCs w:val="18"/>
                <w:lang w:val="da-DK"/>
              </w:rPr>
              <w:t xml:space="preserve">Vi </w:t>
            </w:r>
            <w:r w:rsidR="00E4428B">
              <w:rPr>
                <w:rFonts w:eastAsia="Arial" w:cs="Arial"/>
                <w:szCs w:val="18"/>
                <w:lang w:val="da-DK"/>
              </w:rPr>
              <w:t>fandt</w:t>
            </w:r>
            <w:r w:rsidR="00154CC6">
              <w:rPr>
                <w:rFonts w:eastAsia="Arial" w:cs="Arial"/>
                <w:szCs w:val="18"/>
                <w:lang w:val="da-DK"/>
              </w:rPr>
              <w:t xml:space="preserve"> at </w:t>
            </w:r>
            <w:r w:rsidR="00BC60E1">
              <w:rPr>
                <w:rFonts w:eastAsia="Arial" w:cs="Arial"/>
                <w:szCs w:val="18"/>
                <w:lang w:val="da-DK"/>
              </w:rPr>
              <w:t xml:space="preserve">der </w:t>
            </w:r>
            <w:r w:rsidR="00294449">
              <w:rPr>
                <w:rFonts w:eastAsia="Arial" w:cs="Arial"/>
                <w:szCs w:val="18"/>
                <w:lang w:val="da-DK"/>
              </w:rPr>
              <w:t>i</w:t>
            </w:r>
            <w:r w:rsidR="00294449" w:rsidRPr="00135937">
              <w:rPr>
                <w:rFonts w:eastAsia="Arial" w:cs="Arial"/>
                <w:szCs w:val="18"/>
                <w:lang w:val="da-DK"/>
              </w:rPr>
              <w:t xml:space="preserve"> </w:t>
            </w:r>
            <w:r w:rsidR="00294449">
              <w:rPr>
                <w:rFonts w:eastAsia="Arial" w:cs="Arial"/>
                <w:szCs w:val="18"/>
                <w:lang w:val="da-DK"/>
              </w:rPr>
              <w:t>virksomhedens eller de omfattede p-enheders konto</w:t>
            </w:r>
            <w:r w:rsidR="00294449" w:rsidRPr="00135937">
              <w:rPr>
                <w:rFonts w:eastAsia="Arial" w:cs="Arial"/>
                <w:szCs w:val="18"/>
                <w:lang w:val="da-DK"/>
              </w:rPr>
              <w:t xml:space="preserve">specifikationer for omsætningskonti </w:t>
            </w:r>
            <w:r w:rsidR="006F297F">
              <w:rPr>
                <w:rFonts w:eastAsia="Arial" w:cs="Arial"/>
                <w:szCs w:val="18"/>
                <w:lang w:val="da-DK"/>
              </w:rPr>
              <w:t xml:space="preserve">ikke </w:t>
            </w:r>
            <w:r w:rsidR="00294449">
              <w:rPr>
                <w:rFonts w:eastAsia="Arial" w:cs="Arial"/>
                <w:szCs w:val="18"/>
                <w:lang w:val="da-DK"/>
              </w:rPr>
              <w:t>fremgik bogført omsætning som hidrør</w:t>
            </w:r>
            <w:r w:rsidR="000927D1">
              <w:rPr>
                <w:rFonts w:eastAsia="Arial" w:cs="Arial"/>
                <w:szCs w:val="18"/>
                <w:lang w:val="da-DK"/>
              </w:rPr>
              <w:t>te</w:t>
            </w:r>
            <w:r w:rsidR="00294449">
              <w:rPr>
                <w:rFonts w:eastAsia="Arial" w:cs="Arial"/>
                <w:szCs w:val="18"/>
                <w:lang w:val="da-DK"/>
              </w:rPr>
              <w:t xml:space="preserve"> fra salg af vare- og tjenesteydelser i de udstillede perioder hvor virksomheden har haft forbud mod at holde åbent. Herunder transaktioner som var annulleret, omposteret eller </w:t>
            </w:r>
            <w:r w:rsidR="00C76586">
              <w:rPr>
                <w:rFonts w:eastAsia="Arial" w:cs="Arial"/>
                <w:szCs w:val="18"/>
                <w:lang w:val="da-DK"/>
              </w:rPr>
              <w:t xml:space="preserve">kreditnotaer til udligning af udstedt faktura i perioden hvor virksomheden har haft forbud mod at holde åbent. </w:t>
            </w:r>
          </w:p>
          <w:p w14:paraId="4C4FFA34" w14:textId="3F734783" w:rsidR="00294449" w:rsidRPr="00135937" w:rsidRDefault="00294449" w:rsidP="00294449">
            <w:pPr>
              <w:pStyle w:val="TableTextNoHanging"/>
              <w:rPr>
                <w:rFonts w:eastAsia="Arial" w:cs="Arial"/>
                <w:szCs w:val="18"/>
                <w:lang w:val="da-DK"/>
              </w:rPr>
            </w:pPr>
            <w:r>
              <w:rPr>
                <w:rFonts w:eastAsia="Arial" w:cs="Arial"/>
                <w:szCs w:val="18"/>
                <w:lang w:val="da-DK"/>
              </w:rPr>
              <w:t xml:space="preserve"> </w:t>
            </w:r>
          </w:p>
          <w:p w14:paraId="75DBA1B1" w14:textId="2137E601" w:rsidR="00247328" w:rsidRPr="0005518B" w:rsidRDefault="00247328" w:rsidP="00247328">
            <w:pPr>
              <w:pStyle w:val="TableTextNoHanging"/>
              <w:rPr>
                <w:lang w:val="da-DK"/>
              </w:rPr>
            </w:pPr>
          </w:p>
          <w:p w14:paraId="05D6F306" w14:textId="77777777" w:rsidR="00247328" w:rsidRPr="0005518B" w:rsidRDefault="00247328" w:rsidP="00247328">
            <w:pPr>
              <w:pStyle w:val="TableTextNoHanging"/>
              <w:rPr>
                <w:lang w:val="da-DK"/>
              </w:rPr>
            </w:pPr>
          </w:p>
          <w:p w14:paraId="46D3B492" w14:textId="4D4BF76B" w:rsidR="00F562C5" w:rsidRPr="0005518B" w:rsidRDefault="00247328" w:rsidP="00247328">
            <w:pPr>
              <w:pStyle w:val="TableTextNoHanging"/>
              <w:rPr>
                <w:lang w:val="da-DK"/>
              </w:rPr>
            </w:pPr>
            <w:r w:rsidRPr="0005518B">
              <w:rPr>
                <w:lang w:val="da-DK"/>
              </w:rPr>
              <w:t xml:space="preserve">7.1.2: </w:t>
            </w:r>
            <w:r w:rsidR="00650290" w:rsidRPr="00135937">
              <w:rPr>
                <w:rFonts w:eastAsia="Arial" w:cs="Arial"/>
                <w:szCs w:val="18"/>
                <w:lang w:val="da-DK"/>
              </w:rPr>
              <w:t xml:space="preserve"> Vi </w:t>
            </w:r>
            <w:r w:rsidR="00E4428B">
              <w:rPr>
                <w:rFonts w:eastAsia="Arial" w:cs="Arial"/>
                <w:szCs w:val="18"/>
                <w:lang w:val="da-DK"/>
              </w:rPr>
              <w:t>fandt</w:t>
            </w:r>
            <w:r w:rsidR="00650290">
              <w:rPr>
                <w:rFonts w:eastAsia="Arial" w:cs="Arial"/>
                <w:szCs w:val="18"/>
                <w:lang w:val="da-DK"/>
              </w:rPr>
              <w:t xml:space="preserve"> at der i</w:t>
            </w:r>
            <w:r w:rsidR="00650290" w:rsidRPr="00135937">
              <w:rPr>
                <w:rFonts w:eastAsia="Arial" w:cs="Arial"/>
                <w:szCs w:val="18"/>
                <w:lang w:val="da-DK"/>
              </w:rPr>
              <w:t xml:space="preserve"> </w:t>
            </w:r>
            <w:r w:rsidR="00650290">
              <w:rPr>
                <w:rFonts w:eastAsia="Arial" w:cs="Arial"/>
                <w:szCs w:val="18"/>
                <w:lang w:val="da-DK"/>
              </w:rPr>
              <w:t>virksomhedens eller de omfattede p-enheders konto</w:t>
            </w:r>
            <w:r w:rsidR="00650290" w:rsidRPr="00135937">
              <w:rPr>
                <w:rFonts w:eastAsia="Arial" w:cs="Arial"/>
                <w:szCs w:val="18"/>
                <w:lang w:val="da-DK"/>
              </w:rPr>
              <w:t xml:space="preserve">specifikationer for omsætningskonti </w:t>
            </w:r>
            <w:r w:rsidR="00650290">
              <w:rPr>
                <w:rFonts w:eastAsia="Arial" w:cs="Arial"/>
                <w:szCs w:val="18"/>
                <w:lang w:val="da-DK"/>
              </w:rPr>
              <w:t xml:space="preserve">fremgik bogført omsætning som hidrører fra salg af vare- og tjenesteydelser i de udstillede perioder hvor virksomheden har haft forbud mod at holde åbent. </w:t>
            </w:r>
            <w:r w:rsidR="00BE2D26">
              <w:rPr>
                <w:rFonts w:eastAsia="Arial" w:cs="Arial"/>
                <w:szCs w:val="18"/>
                <w:lang w:val="da-DK"/>
              </w:rPr>
              <w:t xml:space="preserve">Den bogførte omsætning </w:t>
            </w:r>
            <w:r w:rsidR="00D50A42">
              <w:rPr>
                <w:rFonts w:eastAsia="Arial" w:cs="Arial"/>
                <w:szCs w:val="18"/>
                <w:lang w:val="da-DK"/>
              </w:rPr>
              <w:t xml:space="preserve">i perioden hidrørte </w:t>
            </w:r>
            <w:r w:rsidR="003E540B">
              <w:rPr>
                <w:rFonts w:eastAsia="Arial" w:cs="Arial"/>
                <w:szCs w:val="18"/>
                <w:lang w:val="da-DK"/>
              </w:rPr>
              <w:t>salg af vare- og tjenesteydelse som var leveret før perioden</w:t>
            </w:r>
            <w:r w:rsidR="00347F33">
              <w:rPr>
                <w:rFonts w:eastAsia="Arial" w:cs="Arial"/>
                <w:szCs w:val="18"/>
                <w:lang w:val="da-DK"/>
              </w:rPr>
              <w:t xml:space="preserve"> eller udgjorde forskudsbetaling på </w:t>
            </w:r>
            <w:r w:rsidR="00FE6D74">
              <w:rPr>
                <w:rFonts w:eastAsia="Arial" w:cs="Arial"/>
                <w:szCs w:val="18"/>
                <w:lang w:val="da-DK"/>
              </w:rPr>
              <w:t xml:space="preserve">salg af vare og </w:t>
            </w:r>
            <w:r w:rsidR="00A23B53">
              <w:rPr>
                <w:rFonts w:eastAsia="Arial" w:cs="Arial"/>
                <w:szCs w:val="18"/>
                <w:lang w:val="da-DK"/>
              </w:rPr>
              <w:t>tjenesteydelser</w:t>
            </w:r>
            <w:r w:rsidR="00FE6D74">
              <w:rPr>
                <w:rFonts w:eastAsia="Arial" w:cs="Arial"/>
                <w:szCs w:val="18"/>
                <w:lang w:val="da-DK"/>
              </w:rPr>
              <w:t xml:space="preserve"> </w:t>
            </w:r>
            <w:r w:rsidR="00267B30">
              <w:rPr>
                <w:rFonts w:eastAsia="Arial" w:cs="Arial"/>
                <w:szCs w:val="18"/>
                <w:lang w:val="da-DK"/>
              </w:rPr>
              <w:t>til levering efter virksomheden eller p-enheden ikke længere var omfattet af forbud mod at holde åbent</w:t>
            </w:r>
            <w:r w:rsidR="00AE3CFB">
              <w:rPr>
                <w:rFonts w:eastAsia="Arial" w:cs="Arial"/>
                <w:szCs w:val="18"/>
                <w:lang w:val="da-DK"/>
              </w:rPr>
              <w:t>.</w:t>
            </w:r>
            <w:r w:rsidR="00BE2D26">
              <w:rPr>
                <w:rFonts w:eastAsia="Arial" w:cs="Arial"/>
                <w:szCs w:val="18"/>
                <w:lang w:val="da-DK"/>
              </w:rPr>
              <w:br/>
            </w:r>
          </w:p>
          <w:p w14:paraId="51C1AD71" w14:textId="765FB4EF" w:rsidR="000B4E58" w:rsidRPr="00135937" w:rsidRDefault="00AE3CFB" w:rsidP="000B4E58">
            <w:pPr>
              <w:pStyle w:val="TableTextNoHanging"/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7.1.3: </w:t>
            </w:r>
            <w:r w:rsidRPr="00135937">
              <w:rPr>
                <w:rFonts w:eastAsia="Arial" w:cs="Arial"/>
                <w:szCs w:val="18"/>
                <w:lang w:val="da-DK"/>
              </w:rPr>
              <w:t xml:space="preserve"> Vi </w:t>
            </w:r>
            <w:r w:rsidR="00430BAC">
              <w:rPr>
                <w:rFonts w:eastAsia="Arial" w:cs="Arial"/>
                <w:szCs w:val="18"/>
                <w:lang w:val="da-DK"/>
              </w:rPr>
              <w:t>fa</w:t>
            </w:r>
            <w:r w:rsidR="00B51780">
              <w:rPr>
                <w:rFonts w:eastAsia="Arial" w:cs="Arial"/>
                <w:szCs w:val="18"/>
                <w:lang w:val="da-DK"/>
              </w:rPr>
              <w:t>ndt</w:t>
            </w:r>
            <w:r>
              <w:rPr>
                <w:rFonts w:eastAsia="Arial" w:cs="Arial"/>
                <w:szCs w:val="18"/>
                <w:lang w:val="da-DK"/>
              </w:rPr>
              <w:t xml:space="preserve"> at der i</w:t>
            </w:r>
            <w:r w:rsidRPr="00135937">
              <w:rPr>
                <w:rFonts w:eastAsia="Arial" w:cs="Arial"/>
                <w:szCs w:val="18"/>
                <w:lang w:val="da-DK"/>
              </w:rPr>
              <w:t xml:space="preserve"> </w:t>
            </w:r>
            <w:r>
              <w:rPr>
                <w:rFonts w:eastAsia="Arial" w:cs="Arial"/>
                <w:szCs w:val="18"/>
                <w:lang w:val="da-DK"/>
              </w:rPr>
              <w:t>virksomhedens eller de omfattede p-enheders konto</w:t>
            </w:r>
            <w:r w:rsidRPr="00135937">
              <w:rPr>
                <w:rFonts w:eastAsia="Arial" w:cs="Arial"/>
                <w:szCs w:val="18"/>
                <w:lang w:val="da-DK"/>
              </w:rPr>
              <w:t xml:space="preserve">specifikationer for omsætningskonti </w:t>
            </w:r>
            <w:r>
              <w:rPr>
                <w:rFonts w:eastAsia="Arial" w:cs="Arial"/>
                <w:szCs w:val="18"/>
                <w:lang w:val="da-DK"/>
              </w:rPr>
              <w:t xml:space="preserve">fremgik bogført omsætning som </w:t>
            </w:r>
            <w:r w:rsidR="004667F5">
              <w:rPr>
                <w:rFonts w:eastAsia="Arial" w:cs="Arial"/>
                <w:szCs w:val="18"/>
                <w:lang w:val="da-DK"/>
              </w:rPr>
              <w:t xml:space="preserve">ikke </w:t>
            </w:r>
            <w:r>
              <w:rPr>
                <w:rFonts w:eastAsia="Arial" w:cs="Arial"/>
                <w:szCs w:val="18"/>
                <w:lang w:val="da-DK"/>
              </w:rPr>
              <w:t>hidrør</w:t>
            </w:r>
            <w:r w:rsidR="006848E7">
              <w:rPr>
                <w:rFonts w:eastAsia="Arial" w:cs="Arial"/>
                <w:szCs w:val="18"/>
                <w:lang w:val="da-DK"/>
              </w:rPr>
              <w:t>te</w:t>
            </w:r>
            <w:r>
              <w:rPr>
                <w:rFonts w:eastAsia="Arial" w:cs="Arial"/>
                <w:szCs w:val="18"/>
                <w:lang w:val="da-DK"/>
              </w:rPr>
              <w:t xml:space="preserve"> fra salg af vare- og tjenesteydelser i de udstillede perioder hvor virksomheden har haft forbud mod at holde åbent.</w:t>
            </w:r>
          </w:p>
          <w:p w14:paraId="2235DA10" w14:textId="7A482ED3" w:rsidR="00247328" w:rsidRPr="0005518B" w:rsidRDefault="005009F2" w:rsidP="00247328">
            <w:pPr>
              <w:pStyle w:val="TableTextNoHanging"/>
              <w:rPr>
                <w:lang w:val="da-DK"/>
              </w:rPr>
            </w:pPr>
            <w:r>
              <w:rPr>
                <w:lang w:val="da-DK"/>
              </w:rPr>
              <w:t xml:space="preserve">7.1.4: </w:t>
            </w:r>
            <w:r w:rsidR="00247328" w:rsidRPr="0005518B">
              <w:rPr>
                <w:lang w:val="da-DK"/>
              </w:rPr>
              <w:t>Fritekst</w:t>
            </w:r>
          </w:p>
          <w:p w14:paraId="06FB6A16" w14:textId="0E46C13D" w:rsidR="00247328" w:rsidRDefault="00247328" w:rsidP="00247328">
            <w:pPr>
              <w:pStyle w:val="TableTextNoHanging"/>
              <w:rPr>
                <w:lang w:val="da-DK"/>
              </w:rPr>
            </w:pPr>
          </w:p>
          <w:p w14:paraId="1AEB01F8" w14:textId="50AD38B3" w:rsidR="00C30B2A" w:rsidRDefault="001523A8" w:rsidP="006A0128">
            <w:pPr>
              <w:pStyle w:val="TableTextNoHanging"/>
              <w:rPr>
                <w:rFonts w:eastAsia="Arial" w:cs="Arial"/>
                <w:szCs w:val="18"/>
                <w:lang w:val="da-DK"/>
              </w:rPr>
            </w:pPr>
            <w:r>
              <w:rPr>
                <w:lang w:val="da-DK"/>
              </w:rPr>
              <w:t xml:space="preserve">7.2.1: </w:t>
            </w:r>
            <w:r w:rsidR="006A0128">
              <w:rPr>
                <w:rFonts w:eastAsia="Arial" w:cs="Arial"/>
                <w:szCs w:val="18"/>
                <w:lang w:val="da-DK"/>
              </w:rPr>
              <w:t xml:space="preserve">Vi fandt </w:t>
            </w:r>
            <w:r w:rsidR="000C0946">
              <w:rPr>
                <w:rFonts w:eastAsia="Arial" w:cs="Arial"/>
                <w:szCs w:val="18"/>
                <w:lang w:val="da-DK"/>
              </w:rPr>
              <w:t>at der af v</w:t>
            </w:r>
            <w:r w:rsidR="006A0128">
              <w:rPr>
                <w:rFonts w:eastAsia="Arial" w:cs="Arial"/>
                <w:szCs w:val="18"/>
                <w:lang w:val="da-DK"/>
              </w:rPr>
              <w:t xml:space="preserve">irksomhedens bankkonti </w:t>
            </w:r>
            <w:r w:rsidR="000C0946">
              <w:rPr>
                <w:rFonts w:eastAsia="Arial" w:cs="Arial"/>
                <w:szCs w:val="18"/>
                <w:lang w:val="da-DK"/>
              </w:rPr>
              <w:t xml:space="preserve">ikke </w:t>
            </w:r>
            <w:r w:rsidR="0036604D">
              <w:rPr>
                <w:rFonts w:eastAsia="Arial" w:cs="Arial"/>
                <w:szCs w:val="18"/>
                <w:lang w:val="da-DK"/>
              </w:rPr>
              <w:t xml:space="preserve">fremgik </w:t>
            </w:r>
            <w:r w:rsidR="00C30B2A">
              <w:rPr>
                <w:rFonts w:eastAsia="Arial" w:cs="Arial"/>
                <w:szCs w:val="18"/>
                <w:lang w:val="da-DK"/>
              </w:rPr>
              <w:t>ind</w:t>
            </w:r>
            <w:r w:rsidR="0036604D">
              <w:rPr>
                <w:rFonts w:eastAsia="Arial" w:cs="Arial"/>
                <w:szCs w:val="18"/>
                <w:lang w:val="da-DK"/>
              </w:rPr>
              <w:t>betaling af faktura, kontante indbetalinger, indbetalinger fra Mobil pay eller andre betalingstjenester som hidrør</w:t>
            </w:r>
            <w:r w:rsidR="006848E7">
              <w:rPr>
                <w:rFonts w:eastAsia="Arial" w:cs="Arial"/>
                <w:szCs w:val="18"/>
                <w:lang w:val="da-DK"/>
              </w:rPr>
              <w:t>te</w:t>
            </w:r>
            <w:r w:rsidR="0036604D">
              <w:rPr>
                <w:rFonts w:eastAsia="Arial" w:cs="Arial"/>
                <w:szCs w:val="18"/>
                <w:lang w:val="da-DK"/>
              </w:rPr>
              <w:t xml:space="preserve"> fra salg af vare- og tjenesteydelser i de anførte perioder.</w:t>
            </w:r>
          </w:p>
          <w:p w14:paraId="56861458" w14:textId="53DCCECE" w:rsidR="00A07825" w:rsidRDefault="00A07825" w:rsidP="006A0128">
            <w:pPr>
              <w:pStyle w:val="TableTextNoHanging"/>
              <w:rPr>
                <w:rFonts w:eastAsia="Arial" w:cs="Arial"/>
                <w:szCs w:val="18"/>
                <w:lang w:val="da-DK"/>
              </w:rPr>
            </w:pPr>
          </w:p>
          <w:p w14:paraId="58F6A8AD" w14:textId="641830F0" w:rsidR="00A07825" w:rsidRDefault="00A07825" w:rsidP="006A0128">
            <w:pPr>
              <w:pStyle w:val="TableTextNoHanging"/>
              <w:rPr>
                <w:rFonts w:eastAsia="Arial" w:cs="Arial"/>
                <w:szCs w:val="18"/>
                <w:lang w:val="da-DK"/>
              </w:rPr>
            </w:pPr>
          </w:p>
          <w:p w14:paraId="0F1A4CA5" w14:textId="77777777" w:rsidR="00A07825" w:rsidRDefault="00A07825" w:rsidP="006A0128">
            <w:pPr>
              <w:pStyle w:val="TableTextNoHanging"/>
              <w:rPr>
                <w:rFonts w:eastAsia="Arial" w:cs="Arial"/>
                <w:szCs w:val="18"/>
                <w:lang w:val="da-DK"/>
              </w:rPr>
            </w:pPr>
          </w:p>
          <w:p w14:paraId="580255DA" w14:textId="5A524074" w:rsidR="009F4887" w:rsidRDefault="00F43F6C" w:rsidP="009F4887">
            <w:pPr>
              <w:pStyle w:val="TableTextNoHanging"/>
              <w:rPr>
                <w:rFonts w:eastAsia="Arial" w:cs="Arial"/>
                <w:szCs w:val="18"/>
                <w:lang w:val="da-DK"/>
              </w:rPr>
            </w:pPr>
            <w:r>
              <w:rPr>
                <w:rFonts w:eastAsia="Arial" w:cs="Arial"/>
                <w:szCs w:val="18"/>
                <w:lang w:val="da-DK"/>
              </w:rPr>
              <w:t xml:space="preserve">7.2.2: </w:t>
            </w:r>
            <w:r w:rsidR="009F4887">
              <w:rPr>
                <w:rFonts w:eastAsia="Arial" w:cs="Arial"/>
                <w:szCs w:val="18"/>
                <w:lang w:val="da-DK"/>
              </w:rPr>
              <w:t xml:space="preserve">Vi fandt at der af virksomhedens bankkonti fremgik indbetaling af faktura, kontante indbetalinger, indbetalinger fra Mobil pay eller andre betalingstjenester </w:t>
            </w:r>
            <w:r w:rsidR="00A44B1E">
              <w:rPr>
                <w:rFonts w:eastAsia="Arial" w:cs="Arial"/>
                <w:szCs w:val="18"/>
                <w:lang w:val="da-DK"/>
              </w:rPr>
              <w:t xml:space="preserve">der ikke kan </w:t>
            </w:r>
            <w:r w:rsidR="00621707">
              <w:rPr>
                <w:rFonts w:eastAsia="Arial" w:cs="Arial"/>
                <w:szCs w:val="18"/>
                <w:lang w:val="da-DK"/>
              </w:rPr>
              <w:t xml:space="preserve">henføres til </w:t>
            </w:r>
            <w:r w:rsidR="009F4887">
              <w:rPr>
                <w:rFonts w:eastAsia="Arial" w:cs="Arial"/>
                <w:szCs w:val="18"/>
                <w:lang w:val="da-DK"/>
              </w:rPr>
              <w:t xml:space="preserve">salg af vare- og tjenesteydelser </w:t>
            </w:r>
            <w:r w:rsidR="00621707">
              <w:rPr>
                <w:rFonts w:eastAsia="Arial" w:cs="Arial"/>
                <w:szCs w:val="18"/>
                <w:lang w:val="da-DK"/>
              </w:rPr>
              <w:t xml:space="preserve">uden for de anførte </w:t>
            </w:r>
            <w:r w:rsidR="009F4887">
              <w:rPr>
                <w:rFonts w:eastAsia="Arial" w:cs="Arial"/>
                <w:szCs w:val="18"/>
                <w:lang w:val="da-DK"/>
              </w:rPr>
              <w:t>perioder.</w:t>
            </w:r>
          </w:p>
          <w:p w14:paraId="1F6BC7DA" w14:textId="6CA4746B" w:rsidR="006A0128" w:rsidRDefault="006A0128" w:rsidP="006A0128">
            <w:pPr>
              <w:pStyle w:val="TableTextNoHanging"/>
              <w:rPr>
                <w:rFonts w:eastAsia="Arial" w:cs="Arial"/>
                <w:szCs w:val="18"/>
                <w:lang w:val="da-DK"/>
              </w:rPr>
            </w:pPr>
          </w:p>
          <w:p w14:paraId="2380C860" w14:textId="2064F8E1" w:rsidR="00430BAC" w:rsidRPr="00135937" w:rsidRDefault="00A07825" w:rsidP="00430BAC">
            <w:pPr>
              <w:pStyle w:val="TableTextNoHanging"/>
              <w:rPr>
                <w:lang w:val="da-DK"/>
              </w:rPr>
            </w:pPr>
            <w:r>
              <w:rPr>
                <w:rFonts w:eastAsia="Arial" w:cs="Arial"/>
                <w:szCs w:val="18"/>
                <w:lang w:val="da-DK"/>
              </w:rPr>
              <w:t xml:space="preserve">7.2.3: </w:t>
            </w:r>
            <w:r w:rsidR="00430BAC" w:rsidRPr="00135937">
              <w:rPr>
                <w:rFonts w:eastAsia="Arial" w:cs="Arial"/>
                <w:szCs w:val="18"/>
                <w:lang w:val="da-DK"/>
              </w:rPr>
              <w:t xml:space="preserve">Vi </w:t>
            </w:r>
            <w:r w:rsidR="00B51780">
              <w:rPr>
                <w:rFonts w:eastAsia="Arial" w:cs="Arial"/>
                <w:szCs w:val="18"/>
                <w:lang w:val="da-DK"/>
              </w:rPr>
              <w:t>fandt</w:t>
            </w:r>
            <w:r w:rsidR="00430BAC">
              <w:rPr>
                <w:rFonts w:eastAsia="Arial" w:cs="Arial"/>
                <w:szCs w:val="18"/>
                <w:lang w:val="da-DK"/>
              </w:rPr>
              <w:t xml:space="preserve"> at der i</w:t>
            </w:r>
            <w:r w:rsidR="00430BAC" w:rsidRPr="00135937">
              <w:rPr>
                <w:rFonts w:eastAsia="Arial" w:cs="Arial"/>
                <w:szCs w:val="18"/>
                <w:lang w:val="da-DK"/>
              </w:rPr>
              <w:t xml:space="preserve"> </w:t>
            </w:r>
            <w:r w:rsidR="00430BAC">
              <w:rPr>
                <w:rFonts w:eastAsia="Arial" w:cs="Arial"/>
                <w:szCs w:val="18"/>
                <w:lang w:val="da-DK"/>
              </w:rPr>
              <w:t>virksomhedens eller de omfattede p-enheders konto</w:t>
            </w:r>
            <w:r w:rsidR="00430BAC" w:rsidRPr="00135937">
              <w:rPr>
                <w:rFonts w:eastAsia="Arial" w:cs="Arial"/>
                <w:szCs w:val="18"/>
                <w:lang w:val="da-DK"/>
              </w:rPr>
              <w:t xml:space="preserve">specifikationer for omsætningskonti </w:t>
            </w:r>
            <w:r w:rsidR="00430BAC">
              <w:rPr>
                <w:rFonts w:eastAsia="Arial" w:cs="Arial"/>
                <w:szCs w:val="18"/>
                <w:lang w:val="da-DK"/>
              </w:rPr>
              <w:t>fremgik bogført omsætning som hidrør</w:t>
            </w:r>
            <w:r w:rsidR="006848E7">
              <w:rPr>
                <w:rFonts w:eastAsia="Arial" w:cs="Arial"/>
                <w:szCs w:val="18"/>
                <w:lang w:val="da-DK"/>
              </w:rPr>
              <w:t>te</w:t>
            </w:r>
            <w:r w:rsidR="00430BAC">
              <w:rPr>
                <w:rFonts w:eastAsia="Arial" w:cs="Arial"/>
                <w:szCs w:val="18"/>
                <w:lang w:val="da-DK"/>
              </w:rPr>
              <w:t xml:space="preserve"> fra salg af vare- og tjenesteydelser i de udstillede perioder hvor virksomheden har haft forbud mod at holde åbent.</w:t>
            </w:r>
          </w:p>
          <w:p w14:paraId="3C199018" w14:textId="277A9509" w:rsidR="00351708" w:rsidRPr="0005518B" w:rsidRDefault="00D00261" w:rsidP="00247328">
            <w:pPr>
              <w:pStyle w:val="TableTextNoHanging"/>
              <w:rPr>
                <w:lang w:val="da-DK"/>
              </w:rPr>
            </w:pPr>
            <w:r>
              <w:rPr>
                <w:lang w:val="da-DK"/>
              </w:rPr>
              <w:t xml:space="preserve">7.2.4: </w:t>
            </w:r>
            <w:r w:rsidRPr="00135937">
              <w:rPr>
                <w:lang w:val="da-DK"/>
              </w:rPr>
              <w:t xml:space="preserve"> Fritekst</w:t>
            </w:r>
          </w:p>
          <w:p w14:paraId="668652E4" w14:textId="76219266" w:rsidR="00247328" w:rsidRPr="0005518B" w:rsidRDefault="00247328" w:rsidP="00247328">
            <w:pPr>
              <w:pStyle w:val="TableTextNoHanging"/>
              <w:rPr>
                <w:lang w:val="da-DK"/>
              </w:rPr>
            </w:pPr>
            <w:proofErr w:type="spellStart"/>
            <w:r w:rsidRPr="00BE2D26">
              <w:t>Fritekstfelt</w:t>
            </w:r>
            <w:proofErr w:type="spellEnd"/>
          </w:p>
        </w:tc>
      </w:tr>
      <w:tr w:rsidR="00247328" w:rsidRPr="00F3665A" w14:paraId="3F0F0265" w14:textId="77777777" w:rsidTr="00635A1D">
        <w:tc>
          <w:tcPr>
            <w:tcW w:w="704" w:type="dxa"/>
          </w:tcPr>
          <w:p w14:paraId="184F3659" w14:textId="207367C5" w:rsidR="00247328" w:rsidRPr="00DC7F2D" w:rsidRDefault="00247328" w:rsidP="00247328">
            <w:pPr>
              <w:pStyle w:val="TableTextNoHanging"/>
              <w:rPr>
                <w:lang w:val="en-GB"/>
              </w:rPr>
            </w:pPr>
            <w:r>
              <w:rPr>
                <w:lang w:val="en-GB"/>
              </w:rPr>
              <w:lastRenderedPageBreak/>
              <w:t>101</w:t>
            </w:r>
          </w:p>
        </w:tc>
        <w:tc>
          <w:tcPr>
            <w:tcW w:w="1559" w:type="dxa"/>
          </w:tcPr>
          <w:p w14:paraId="31E4B974" w14:textId="0660AB3D" w:rsidR="00247328" w:rsidRPr="00DC7F2D" w:rsidRDefault="00247328" w:rsidP="00247328">
            <w:pPr>
              <w:pStyle w:val="TableTextNoHanging"/>
            </w:pPr>
            <w:r>
              <w:t>§ 2 stk. 5</w:t>
            </w:r>
          </w:p>
        </w:tc>
        <w:tc>
          <w:tcPr>
            <w:tcW w:w="2694" w:type="dxa"/>
            <w:gridSpan w:val="2"/>
          </w:tcPr>
          <w:p w14:paraId="4595FF41" w14:textId="77777777" w:rsidR="00247328" w:rsidRPr="00171D79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171D79">
              <w:rPr>
                <w:lang w:val="da-DK"/>
              </w:rPr>
              <w:t>101.1: Relevant for timelønnede</w:t>
            </w:r>
            <w:r w:rsidRPr="00171D79">
              <w:rPr>
                <w:color w:val="212529"/>
                <w:lang w:val="da-DK"/>
              </w:rPr>
              <w:t xml:space="preserve"> </w:t>
            </w:r>
          </w:p>
          <w:p w14:paraId="266E2E04" w14:textId="7296C90D" w:rsidR="00247328" w:rsidRPr="00171D79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171D79">
              <w:rPr>
                <w:color w:val="212529"/>
                <w:lang w:val="da-DK"/>
              </w:rPr>
              <w:t xml:space="preserve">Vi har for de anviste stikprøver undersøgt de angivne opsparede bruttoferiepengebeløb i virksomhedens slutafregning og påset, at de svarer til de samlede opsparede bruttoferiepenge (der ikke er indberettet til felt </w:t>
            </w:r>
            <w:r w:rsidR="002A5981">
              <w:rPr>
                <w:color w:val="212529"/>
                <w:lang w:val="da-DK"/>
              </w:rPr>
              <w:t xml:space="preserve">13, 14 eller </w:t>
            </w:r>
            <w:r w:rsidRPr="00171D79">
              <w:rPr>
                <w:color w:val="212529"/>
                <w:lang w:val="da-DK"/>
              </w:rPr>
              <w:t xml:space="preserve">198 i </w:t>
            </w:r>
            <w:proofErr w:type="spellStart"/>
            <w:r w:rsidRPr="00171D79">
              <w:rPr>
                <w:color w:val="212529"/>
                <w:lang w:val="da-DK"/>
              </w:rPr>
              <w:t>eindkomst</w:t>
            </w:r>
            <w:proofErr w:type="spellEnd"/>
            <w:r w:rsidRPr="00171D79">
              <w:rPr>
                <w:color w:val="212529"/>
                <w:lang w:val="da-DK"/>
              </w:rPr>
              <w:t>)</w:t>
            </w:r>
            <w:r w:rsidRPr="00171D79" w:rsidDel="007B4B91">
              <w:rPr>
                <w:rStyle w:val="Kommentarhenvisning"/>
                <w:lang w:val="da-DK"/>
              </w:rPr>
              <w:t xml:space="preserve"> </w:t>
            </w:r>
            <w:r w:rsidRPr="00171D79">
              <w:rPr>
                <w:color w:val="212529"/>
                <w:lang w:val="da-DK"/>
              </w:rPr>
              <w:t>og som fremgår af medarbejderens lønsedler for kompensationsperioden eller dokumentation for medarbejderens ansættelsesvilkår og virksomhedens bogholderi.</w:t>
            </w:r>
            <w:r w:rsidRPr="00171D79">
              <w:rPr>
                <w:color w:val="212529"/>
                <w:lang w:val="da-DK"/>
              </w:rPr>
              <w:br/>
            </w:r>
          </w:p>
          <w:p w14:paraId="6BE81B47" w14:textId="77777777" w:rsidR="00247328" w:rsidRPr="00171D79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171D79">
              <w:rPr>
                <w:lang w:val="da-DK"/>
              </w:rPr>
              <w:t>101.2: Relevant for funktionærer, lærlinge og elever</w:t>
            </w:r>
            <w:r w:rsidRPr="00171D79">
              <w:rPr>
                <w:color w:val="212529"/>
                <w:lang w:val="da-DK"/>
              </w:rPr>
              <w:t xml:space="preserve"> </w:t>
            </w:r>
          </w:p>
          <w:p w14:paraId="426B6C1A" w14:textId="4EF9C61A" w:rsidR="00247328" w:rsidRPr="00171D79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171D79">
              <w:rPr>
                <w:color w:val="212529"/>
                <w:lang w:val="da-DK"/>
              </w:rPr>
              <w:t xml:space="preserve">Vi har for de anviste stikprøver undersøgt de angivne </w:t>
            </w:r>
            <w:r w:rsidRPr="00171D79">
              <w:rPr>
                <w:color w:val="212529"/>
                <w:lang w:val="da-DK"/>
              </w:rPr>
              <w:lastRenderedPageBreak/>
              <w:t xml:space="preserve">opsparede bruttoferiepengebeløb i virksomhedens slutafregning og påset, at de svarer til de samlede opsparede bruttoferiepenge, som fremgår af dokumentation for medarbejderens ansættelsesvilkår og virksomhedens bogholderi </w:t>
            </w:r>
          </w:p>
          <w:p w14:paraId="2E1EFE48" w14:textId="77777777" w:rsidR="00247328" w:rsidRPr="00171D79" w:rsidRDefault="00247328" w:rsidP="00247328">
            <w:pPr>
              <w:pStyle w:val="TableTextNoHanging"/>
              <w:rPr>
                <w:rFonts w:cs="Arial"/>
                <w:color w:val="212529"/>
                <w:szCs w:val="18"/>
                <w:lang w:val="da-DK"/>
              </w:rPr>
            </w:pPr>
          </w:p>
          <w:p w14:paraId="760DEC04" w14:textId="42FE7A06" w:rsidR="00247328" w:rsidRPr="00171D79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171D79">
              <w:rPr>
                <w:rFonts w:cs="Arial"/>
                <w:color w:val="212529"/>
                <w:szCs w:val="18"/>
                <w:lang w:val="da-DK"/>
              </w:rPr>
              <w:t>101.3</w:t>
            </w:r>
            <w:r w:rsidRPr="00171D79">
              <w:rPr>
                <w:color w:val="212529"/>
                <w:lang w:val="da-DK"/>
              </w:rPr>
              <w:t xml:space="preserve">:   Relevant for </w:t>
            </w:r>
            <w:r w:rsidR="00503537">
              <w:rPr>
                <w:color w:val="212529"/>
                <w:lang w:val="da-DK"/>
              </w:rPr>
              <w:t xml:space="preserve">alle </w:t>
            </w:r>
            <w:r w:rsidR="000C74A6">
              <w:rPr>
                <w:color w:val="212529"/>
                <w:lang w:val="da-DK"/>
              </w:rPr>
              <w:t>ansættelsesforhold</w:t>
            </w:r>
            <w:r w:rsidRPr="00171D79">
              <w:rPr>
                <w:color w:val="212529"/>
                <w:lang w:val="da-DK"/>
              </w:rPr>
              <w:t>:</w:t>
            </w:r>
          </w:p>
          <w:p w14:paraId="0F2449D2" w14:textId="77777777" w:rsidR="00247328" w:rsidRPr="00171D79" w:rsidRDefault="00247328" w:rsidP="00247328">
            <w:pPr>
              <w:pStyle w:val="TableTextNoHanging"/>
              <w:rPr>
                <w:rFonts w:cs="Arial"/>
                <w:color w:val="FFFFFF"/>
                <w:szCs w:val="18"/>
                <w:lang w:val="da-DK"/>
              </w:rPr>
            </w:pPr>
            <w:r w:rsidRPr="00171D79">
              <w:rPr>
                <w:color w:val="212529"/>
                <w:lang w:val="da-DK"/>
              </w:rPr>
              <w:t xml:space="preserve">Vi har for de anviste stikprøver undersøgt om den i slutafregningssystemet angivne løn under ferie som minimum svarer til den faktisk afholdte bruttoløn under ferie, samt at den afholdte bruttoløn under ferie er indberettet til </w:t>
            </w:r>
            <w:proofErr w:type="spellStart"/>
            <w:r w:rsidRPr="00171D79">
              <w:rPr>
                <w:color w:val="212529"/>
                <w:lang w:val="da-DK"/>
              </w:rPr>
              <w:t>eIndkomst</w:t>
            </w:r>
            <w:proofErr w:type="spellEnd"/>
            <w:r w:rsidRPr="00171D79">
              <w:rPr>
                <w:rFonts w:cs="Arial"/>
                <w:color w:val="DA846B"/>
                <w:szCs w:val="18"/>
                <w:lang w:val="da-DK"/>
              </w:rPr>
              <w:t>.</w:t>
            </w:r>
          </w:p>
          <w:p w14:paraId="2EAB736B" w14:textId="77777777" w:rsidR="00247328" w:rsidRPr="00247328" w:rsidRDefault="00247328" w:rsidP="00247328">
            <w:pPr>
              <w:pStyle w:val="TableTextNoHanging"/>
              <w:rPr>
                <w:lang w:val="da-DK"/>
              </w:rPr>
            </w:pPr>
          </w:p>
        </w:tc>
        <w:tc>
          <w:tcPr>
            <w:tcW w:w="3969" w:type="dxa"/>
          </w:tcPr>
          <w:p w14:paraId="1E34DFFE" w14:textId="2E1BAB3B" w:rsidR="00F15FBF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F3665A">
              <w:rPr>
                <w:lang w:val="da-DK"/>
              </w:rPr>
              <w:lastRenderedPageBreak/>
              <w:t xml:space="preserve">101.1.1: </w:t>
            </w:r>
            <w:r w:rsidR="0003179C">
              <w:rPr>
                <w:lang w:val="da-DK"/>
              </w:rPr>
              <w:t xml:space="preserve">Vi fandt at </w:t>
            </w:r>
            <w:r w:rsidR="0014323A">
              <w:rPr>
                <w:lang w:val="da-DK"/>
              </w:rPr>
              <w:t>virksomheden ikke havde timelønnede</w:t>
            </w:r>
            <w:r w:rsidR="009B0161">
              <w:rPr>
                <w:lang w:val="da-DK"/>
              </w:rPr>
              <w:t xml:space="preserve"> </w:t>
            </w:r>
            <w:r w:rsidR="00425180">
              <w:rPr>
                <w:lang w:val="da-DK"/>
              </w:rPr>
              <w:t>ansatte blandt de udtagende stikprøver</w:t>
            </w:r>
            <w:r w:rsidR="0014323A">
              <w:rPr>
                <w:lang w:val="da-DK"/>
              </w:rPr>
              <w:t>.</w:t>
            </w:r>
            <w:r w:rsidRPr="00F3665A">
              <w:rPr>
                <w:color w:val="212529"/>
                <w:lang w:val="da-DK"/>
              </w:rPr>
              <w:t xml:space="preserve"> </w:t>
            </w:r>
          </w:p>
          <w:p w14:paraId="0BDBE111" w14:textId="77777777" w:rsidR="0003179C" w:rsidRDefault="0003179C" w:rsidP="00247328">
            <w:pPr>
              <w:pStyle w:val="TableTextNoHanging"/>
              <w:rPr>
                <w:color w:val="212529"/>
                <w:lang w:val="da-DK"/>
              </w:rPr>
            </w:pPr>
          </w:p>
          <w:p w14:paraId="7E30B435" w14:textId="109A1D31" w:rsidR="00247328" w:rsidRPr="00F3665A" w:rsidRDefault="0003179C" w:rsidP="00247328">
            <w:pPr>
              <w:pStyle w:val="TableTextNoHanging"/>
              <w:rPr>
                <w:lang w:val="da-DK"/>
              </w:rPr>
            </w:pPr>
            <w:r>
              <w:rPr>
                <w:color w:val="212529"/>
                <w:lang w:val="da-DK"/>
              </w:rPr>
              <w:t xml:space="preserve">101.1.2: </w:t>
            </w:r>
            <w:r w:rsidR="005D1152">
              <w:rPr>
                <w:color w:val="212529"/>
                <w:lang w:val="da-DK"/>
              </w:rPr>
              <w:t>Vi fandt, f</w:t>
            </w:r>
            <w:r w:rsidR="00D7315E">
              <w:rPr>
                <w:color w:val="212529"/>
                <w:lang w:val="da-DK"/>
              </w:rPr>
              <w:t xml:space="preserve">or de </w:t>
            </w:r>
            <w:r w:rsidR="00247328" w:rsidRPr="00F3665A">
              <w:rPr>
                <w:color w:val="212529"/>
                <w:lang w:val="da-DK"/>
              </w:rPr>
              <w:t>anviste stikprøver, at de angivne opsparede bruttoferiepengebeløb i virksomhedens slutafregning højst svare</w:t>
            </w:r>
            <w:r w:rsidR="00616CAB">
              <w:rPr>
                <w:color w:val="212529"/>
                <w:lang w:val="da-DK"/>
              </w:rPr>
              <w:t>de</w:t>
            </w:r>
            <w:r w:rsidR="00247328" w:rsidRPr="00F3665A">
              <w:rPr>
                <w:color w:val="212529"/>
                <w:lang w:val="da-DK"/>
              </w:rPr>
              <w:t xml:space="preserve"> til de samlede opsparede bruttoferiepenge (der ikke er indberettet til felt </w:t>
            </w:r>
            <w:r w:rsidR="008B637A">
              <w:rPr>
                <w:color w:val="212529"/>
                <w:lang w:val="da-DK"/>
              </w:rPr>
              <w:t xml:space="preserve">13, 14 eller </w:t>
            </w:r>
            <w:r w:rsidR="00247328" w:rsidRPr="00F3665A">
              <w:rPr>
                <w:color w:val="212529"/>
                <w:lang w:val="da-DK"/>
              </w:rPr>
              <w:t xml:space="preserve">198 i </w:t>
            </w:r>
            <w:proofErr w:type="spellStart"/>
            <w:r w:rsidR="00247328" w:rsidRPr="00F3665A">
              <w:rPr>
                <w:color w:val="212529"/>
                <w:lang w:val="da-DK"/>
              </w:rPr>
              <w:t>eindkomst</w:t>
            </w:r>
            <w:proofErr w:type="spellEnd"/>
            <w:r w:rsidR="00247328" w:rsidRPr="00F3665A">
              <w:rPr>
                <w:color w:val="212529"/>
                <w:lang w:val="da-DK"/>
              </w:rPr>
              <w:t>)</w:t>
            </w:r>
            <w:r w:rsidR="00247328" w:rsidRPr="00F3665A">
              <w:rPr>
                <w:rStyle w:val="Kommentarhenvisning"/>
                <w:lang w:val="da-DK"/>
              </w:rPr>
              <w:t>,</w:t>
            </w:r>
            <w:r w:rsidR="00247328" w:rsidRPr="00F3665A">
              <w:rPr>
                <w:color w:val="212529"/>
                <w:lang w:val="da-DK"/>
              </w:rPr>
              <w:t xml:space="preserve"> som fremg</w:t>
            </w:r>
            <w:r w:rsidR="00616CAB">
              <w:rPr>
                <w:color w:val="212529"/>
                <w:lang w:val="da-DK"/>
              </w:rPr>
              <w:t>ik</w:t>
            </w:r>
            <w:r w:rsidR="00247328" w:rsidRPr="00F3665A">
              <w:rPr>
                <w:color w:val="212529"/>
                <w:lang w:val="da-DK"/>
              </w:rPr>
              <w:t xml:space="preserve"> af medarbejderens lønsedler for de respektive lønperioder i virksomhedens slutafregning eller dokumentation for medarbejderens ansættelsesvilkår, og virksomhedens bogholderi.</w:t>
            </w:r>
          </w:p>
          <w:p w14:paraId="2D7E5AED" w14:textId="77777777" w:rsidR="00247328" w:rsidRPr="00F3665A" w:rsidRDefault="00247328" w:rsidP="00247328">
            <w:pPr>
              <w:pStyle w:val="TableTextNoHanging"/>
              <w:rPr>
                <w:lang w:val="da-DK"/>
              </w:rPr>
            </w:pPr>
          </w:p>
          <w:p w14:paraId="637311BC" w14:textId="3005B7A7" w:rsidR="00247328" w:rsidRPr="00F3665A" w:rsidRDefault="00247328" w:rsidP="00247328">
            <w:pPr>
              <w:pStyle w:val="TableTextNoHanging"/>
              <w:rPr>
                <w:lang w:val="da-DK"/>
              </w:rPr>
            </w:pPr>
            <w:r w:rsidRPr="00F3665A">
              <w:rPr>
                <w:lang w:val="da-DK"/>
              </w:rPr>
              <w:t>101.1.</w:t>
            </w:r>
            <w:r w:rsidR="0003179C">
              <w:rPr>
                <w:lang w:val="da-DK"/>
              </w:rPr>
              <w:t>3</w:t>
            </w:r>
            <w:r w:rsidRPr="00F3665A">
              <w:rPr>
                <w:lang w:val="da-DK"/>
              </w:rPr>
              <w:t xml:space="preserve">: </w:t>
            </w:r>
            <w:r w:rsidRPr="00F3665A">
              <w:rPr>
                <w:color w:val="212529"/>
                <w:lang w:val="da-DK"/>
              </w:rPr>
              <w:t xml:space="preserve">Vi </w:t>
            </w:r>
            <w:r w:rsidR="00E4428B">
              <w:rPr>
                <w:color w:val="212529"/>
                <w:lang w:val="da-DK"/>
              </w:rPr>
              <w:t>fandt</w:t>
            </w:r>
            <w:r w:rsidRPr="00F3665A">
              <w:rPr>
                <w:color w:val="212529"/>
                <w:lang w:val="da-DK"/>
              </w:rPr>
              <w:t xml:space="preserve">, at der ikke </w:t>
            </w:r>
            <w:r w:rsidR="006848E7">
              <w:rPr>
                <w:color w:val="212529"/>
                <w:lang w:val="da-DK"/>
              </w:rPr>
              <w:t>var</w:t>
            </w:r>
            <w:r w:rsidR="006848E7" w:rsidRPr="00F3665A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dokumentation for de angivne bruttoferiepengebeløb </w:t>
            </w:r>
            <w:r w:rsidR="00171D79" w:rsidRPr="00F3665A">
              <w:rPr>
                <w:color w:val="212529"/>
                <w:lang w:val="da-DK"/>
              </w:rPr>
              <w:t>højest,</w:t>
            </w:r>
            <w:r w:rsidRPr="00F3665A">
              <w:rPr>
                <w:color w:val="212529"/>
                <w:lang w:val="da-DK"/>
              </w:rPr>
              <w:t xml:space="preserve"> er svarerende til ansættelsesvilkårene eller lønsedler for de lønperioder, hvor der er angivet opsparede bruttoferiepengebeløb.</w:t>
            </w:r>
            <w:r w:rsidRPr="00F3665A">
              <w:rPr>
                <w:color w:val="212529"/>
                <w:lang w:val="da-DK"/>
              </w:rPr>
              <w:br/>
            </w:r>
            <w:r w:rsidR="005D1152">
              <w:rPr>
                <w:color w:val="212529"/>
                <w:lang w:val="da-DK"/>
              </w:rPr>
              <w:t>Vi fandt d</w:t>
            </w:r>
            <w:r w:rsidRPr="00F3665A">
              <w:rPr>
                <w:color w:val="212529"/>
                <w:lang w:val="da-DK"/>
              </w:rPr>
              <w:t>ette forhold for flg. medarbejdere i stikprøven:</w:t>
            </w:r>
            <w:r w:rsidRPr="00F3665A">
              <w:rPr>
                <w:color w:val="212529"/>
                <w:lang w:val="da-DK"/>
              </w:rPr>
              <w:br/>
            </w:r>
            <w:r w:rsidRPr="00F3665A">
              <w:rPr>
                <w:highlight w:val="yellow"/>
                <w:lang w:val="da-DK"/>
              </w:rPr>
              <w:t xml:space="preserve">Navn, fødselsdato, angivet </w:t>
            </w:r>
            <w:r w:rsidRPr="00F3665A">
              <w:rPr>
                <w:highlight w:val="yellow"/>
                <w:lang w:val="da-DK"/>
              </w:rPr>
              <w:lastRenderedPageBreak/>
              <w:t>bruttoferiepengebeløb (kr. xx) i virksomhedens slutafregning. Det dokumentere</w:t>
            </w:r>
            <w:r w:rsidR="000E1507">
              <w:rPr>
                <w:highlight w:val="yellow"/>
                <w:lang w:val="da-DK"/>
              </w:rPr>
              <w:t>de</w:t>
            </w:r>
            <w:r w:rsidRPr="00F3665A">
              <w:rPr>
                <w:highlight w:val="yellow"/>
                <w:lang w:val="da-DK"/>
              </w:rPr>
              <w:t xml:space="preserve"> opspare</w:t>
            </w:r>
            <w:r w:rsidR="000E1507">
              <w:rPr>
                <w:highlight w:val="yellow"/>
                <w:lang w:val="da-DK"/>
              </w:rPr>
              <w:t>de</w:t>
            </w:r>
            <w:r w:rsidRPr="00F3665A">
              <w:rPr>
                <w:highlight w:val="yellow"/>
                <w:lang w:val="da-DK"/>
              </w:rPr>
              <w:t xml:space="preserve"> bruttoferiepengebeløb udgør (kr. xx) i virksomhedens lønsystem eller bogholderi.</w:t>
            </w:r>
          </w:p>
          <w:p w14:paraId="507C38C1" w14:textId="77777777" w:rsidR="00247328" w:rsidRPr="00F3665A" w:rsidRDefault="00247328" w:rsidP="00247328">
            <w:pPr>
              <w:pStyle w:val="TableTextNoHanging"/>
              <w:rPr>
                <w:color w:val="212529"/>
                <w:lang w:val="da-DK"/>
              </w:rPr>
            </w:pPr>
          </w:p>
          <w:p w14:paraId="489A2DB0" w14:textId="60F64AEE" w:rsidR="00247328" w:rsidRPr="00F3665A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F3665A">
              <w:rPr>
                <w:color w:val="212529"/>
                <w:lang w:val="da-DK"/>
              </w:rPr>
              <w:t>101.1.</w:t>
            </w:r>
            <w:r w:rsidR="00F2116C">
              <w:rPr>
                <w:color w:val="212529"/>
                <w:lang w:val="da-DK"/>
              </w:rPr>
              <w:t>4</w:t>
            </w:r>
            <w:r w:rsidRPr="00F3665A">
              <w:rPr>
                <w:color w:val="212529"/>
                <w:lang w:val="da-DK"/>
              </w:rPr>
              <w:t xml:space="preserve">: Vi </w:t>
            </w:r>
            <w:r w:rsidR="00E4428B">
              <w:rPr>
                <w:color w:val="212529"/>
                <w:lang w:val="da-DK"/>
              </w:rPr>
              <w:t>fandt</w:t>
            </w:r>
            <w:r w:rsidRPr="00F3665A">
              <w:rPr>
                <w:color w:val="212529"/>
                <w:lang w:val="da-DK"/>
              </w:rPr>
              <w:t xml:space="preserve">, at de angivne bruttoferiepengebeløb i virksomhedens slutafregning </w:t>
            </w:r>
            <w:r w:rsidR="006848E7">
              <w:rPr>
                <w:color w:val="212529"/>
                <w:lang w:val="da-DK"/>
              </w:rPr>
              <w:t>var</w:t>
            </w:r>
            <w:r w:rsidR="006848E7" w:rsidRPr="00F3665A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større, end det registrerede opsparede bruttoferiepengebeløb i virksomhedens eventuelle lønsystem og virksomhedens bogholderi. </w:t>
            </w:r>
            <w:r w:rsidR="003F201C">
              <w:rPr>
                <w:color w:val="212529"/>
                <w:lang w:val="da-DK"/>
              </w:rPr>
              <w:t>Vi fandt d</w:t>
            </w:r>
            <w:r w:rsidRPr="00F3665A">
              <w:rPr>
                <w:color w:val="212529"/>
                <w:lang w:val="da-DK"/>
              </w:rPr>
              <w:t>ette forhold for flg. medarbejdere i stikprøven:</w:t>
            </w:r>
            <w:r w:rsidRPr="00F3665A">
              <w:rPr>
                <w:color w:val="212529"/>
                <w:lang w:val="da-DK"/>
              </w:rPr>
              <w:br/>
            </w:r>
            <w:r w:rsidRPr="00F3665A">
              <w:rPr>
                <w:highlight w:val="yellow"/>
                <w:lang w:val="da-DK"/>
              </w:rPr>
              <w:t>Navn, fødselsdato, angivet bruttoferiepengebeløb (kr. xx) i virksomhedens slutafregning. Det dokumenteret opsparet bruttoferiepengebeløb udgør (kr. xx) i virksomhedens lønsystem eller bogholderi.</w:t>
            </w:r>
          </w:p>
          <w:p w14:paraId="5DD79027" w14:textId="77777777" w:rsidR="00247328" w:rsidRPr="00F3665A" w:rsidRDefault="00247328" w:rsidP="00247328">
            <w:pPr>
              <w:pStyle w:val="TableTextNoHanging"/>
              <w:rPr>
                <w:color w:val="212529"/>
                <w:lang w:val="da-DK"/>
              </w:rPr>
            </w:pPr>
          </w:p>
          <w:p w14:paraId="31C2127E" w14:textId="77777777" w:rsidR="00247328" w:rsidRPr="00F3665A" w:rsidRDefault="00247328" w:rsidP="00247328">
            <w:pPr>
              <w:pStyle w:val="TableTextNoHanging"/>
              <w:rPr>
                <w:color w:val="212529"/>
                <w:lang w:val="da-DK"/>
              </w:rPr>
            </w:pPr>
          </w:p>
          <w:p w14:paraId="7D4C3BF1" w14:textId="3D9AB662" w:rsidR="00247328" w:rsidRPr="00F3665A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F3665A">
              <w:rPr>
                <w:color w:val="212529"/>
                <w:lang w:val="da-DK"/>
              </w:rPr>
              <w:t xml:space="preserve">101.2.1: Vi </w:t>
            </w:r>
            <w:r w:rsidR="00E4428B">
              <w:rPr>
                <w:color w:val="212529"/>
                <w:lang w:val="da-DK"/>
              </w:rPr>
              <w:t>fandt,</w:t>
            </w:r>
            <w:r w:rsidRPr="00F3665A">
              <w:rPr>
                <w:color w:val="212529"/>
                <w:lang w:val="da-DK"/>
              </w:rPr>
              <w:t xml:space="preserve"> for de udvalgte stikprøver, at de angivne opsparede bruttoferiepengebeløb i virksomhedens slutafregning højst </w:t>
            </w:r>
            <w:r w:rsidR="00BE0D23" w:rsidRPr="00F3665A">
              <w:rPr>
                <w:color w:val="212529"/>
                <w:lang w:val="da-DK"/>
              </w:rPr>
              <w:t>svare</w:t>
            </w:r>
            <w:r w:rsidR="00BE0D23">
              <w:rPr>
                <w:color w:val="212529"/>
                <w:lang w:val="da-DK"/>
              </w:rPr>
              <w:t>de</w:t>
            </w:r>
            <w:r w:rsidR="00BE0D23" w:rsidRPr="00F3665A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>til de samlede opsparede bruttoferiepenge</w:t>
            </w:r>
            <w:r w:rsidRPr="00F3665A">
              <w:rPr>
                <w:rStyle w:val="Kommentarhenvisning"/>
                <w:lang w:val="da-DK"/>
              </w:rPr>
              <w:t>,</w:t>
            </w:r>
            <w:r w:rsidRPr="00F3665A">
              <w:rPr>
                <w:color w:val="212529"/>
                <w:lang w:val="da-DK"/>
              </w:rPr>
              <w:t xml:space="preserve"> som fremgår af medarbejderens ansættelsesvilkår.</w:t>
            </w:r>
          </w:p>
          <w:p w14:paraId="70A49A63" w14:textId="77777777" w:rsidR="00247328" w:rsidRPr="00F3665A" w:rsidRDefault="00247328" w:rsidP="00247328">
            <w:pPr>
              <w:pStyle w:val="TableTextNoHanging"/>
              <w:rPr>
                <w:color w:val="212529"/>
                <w:lang w:val="da-DK"/>
              </w:rPr>
            </w:pPr>
          </w:p>
          <w:p w14:paraId="75C3C252" w14:textId="0961E21B" w:rsidR="00247328" w:rsidRPr="00F3665A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F3665A">
              <w:rPr>
                <w:color w:val="212529"/>
                <w:lang w:val="da-DK"/>
              </w:rPr>
              <w:t xml:space="preserve">101.2.2: Vi </w:t>
            </w:r>
            <w:r w:rsidR="00997678">
              <w:rPr>
                <w:color w:val="212529"/>
                <w:lang w:val="da-DK"/>
              </w:rPr>
              <w:t>fandt,</w:t>
            </w:r>
            <w:r w:rsidRPr="00F3665A">
              <w:rPr>
                <w:color w:val="212529"/>
                <w:lang w:val="da-DK"/>
              </w:rPr>
              <w:t xml:space="preserve"> for de udvalgte stikprøver, at der ikke er dokumentation for de angivne bruttoferiepengebeløb i de udvalgte medarbejderes ansættelsesvilkår.</w:t>
            </w:r>
            <w:r w:rsidRPr="00F3665A">
              <w:rPr>
                <w:color w:val="212529"/>
                <w:lang w:val="da-DK"/>
              </w:rPr>
              <w:br/>
            </w:r>
            <w:r w:rsidRPr="00F3665A">
              <w:rPr>
                <w:highlight w:val="yellow"/>
                <w:lang w:val="da-DK"/>
              </w:rPr>
              <w:t>Navn, fødselsdato, angivet bruttoferiepengebeløb (kr. xx) i virksomhedens slutafregning. Det dokumenteret opsparet bruttoferiepengebeløb udgør (kr. xx) i virksomhedens lønsystem eller bogholderi.</w:t>
            </w:r>
          </w:p>
          <w:p w14:paraId="7202B574" w14:textId="3FCB3418" w:rsidR="00247328" w:rsidRPr="00F3665A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F3665A">
              <w:rPr>
                <w:color w:val="212529"/>
                <w:lang w:val="da-DK"/>
              </w:rPr>
              <w:br/>
              <w:t xml:space="preserve">101.2.3:  Vi </w:t>
            </w:r>
            <w:r w:rsidR="00997678">
              <w:rPr>
                <w:color w:val="212529"/>
                <w:lang w:val="da-DK"/>
              </w:rPr>
              <w:t>fandt,</w:t>
            </w:r>
            <w:r w:rsidRPr="00F3665A">
              <w:rPr>
                <w:color w:val="212529"/>
                <w:lang w:val="da-DK"/>
              </w:rPr>
              <w:t xml:space="preserve"> for de udvalgte stikprøver, at de angivne bruttoferiepengebeløb i virksomhedens slutafregning er større, end det som </w:t>
            </w:r>
            <w:r w:rsidR="00BE0D23" w:rsidRPr="00F3665A">
              <w:rPr>
                <w:color w:val="212529"/>
                <w:lang w:val="da-DK"/>
              </w:rPr>
              <w:t>fremg</w:t>
            </w:r>
            <w:r w:rsidR="00BE0D23">
              <w:rPr>
                <w:color w:val="212529"/>
                <w:lang w:val="da-DK"/>
              </w:rPr>
              <w:t>ik</w:t>
            </w:r>
            <w:r w:rsidR="00BE0D23" w:rsidRPr="00F3665A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af dokumentation for medarbejderens ansættelsesvilkår. </w:t>
            </w:r>
            <w:r w:rsidR="00CF3054">
              <w:rPr>
                <w:color w:val="212529"/>
                <w:lang w:val="da-DK"/>
              </w:rPr>
              <w:t>Vi fandt d</w:t>
            </w:r>
            <w:r w:rsidRPr="00F3665A">
              <w:rPr>
                <w:color w:val="212529"/>
                <w:lang w:val="da-DK"/>
              </w:rPr>
              <w:t>ette forhold for flg. medarbejdere i stikprøven:</w:t>
            </w:r>
            <w:r w:rsidRPr="00F3665A">
              <w:rPr>
                <w:color w:val="212529"/>
                <w:lang w:val="da-DK"/>
              </w:rPr>
              <w:br/>
            </w:r>
            <w:r w:rsidRPr="00F3665A">
              <w:rPr>
                <w:highlight w:val="yellow"/>
                <w:lang w:val="da-DK"/>
              </w:rPr>
              <w:t>Navn, fødselsdato, angivet bruttoferiepengebeløb (kr. xx) i virksomhedens slutafregning. Det dokumenteret opsparet bruttoferiepengebeløb udgør (kr. xx) i virksomhedens lønsystem eller bogholderi.</w:t>
            </w:r>
          </w:p>
          <w:p w14:paraId="6CF8121B" w14:textId="77777777" w:rsidR="00247328" w:rsidRPr="00F3665A" w:rsidRDefault="00247328" w:rsidP="00247328">
            <w:pPr>
              <w:pStyle w:val="TableTextNoHanging"/>
              <w:rPr>
                <w:lang w:val="da-DK"/>
              </w:rPr>
            </w:pPr>
          </w:p>
          <w:p w14:paraId="03DB9677" w14:textId="77777777" w:rsidR="00247328" w:rsidRPr="00F3665A" w:rsidRDefault="00247328" w:rsidP="00247328">
            <w:pPr>
              <w:pStyle w:val="TableTextNoHanging"/>
              <w:rPr>
                <w:lang w:val="da-DK"/>
              </w:rPr>
            </w:pPr>
          </w:p>
          <w:p w14:paraId="1A280210" w14:textId="215C326B" w:rsidR="00247328" w:rsidRPr="00F3665A" w:rsidRDefault="00247328" w:rsidP="00247328">
            <w:pPr>
              <w:pStyle w:val="TableTextNoHanging"/>
              <w:rPr>
                <w:rFonts w:cs="Arial"/>
                <w:color w:val="FFFFFF"/>
                <w:szCs w:val="18"/>
                <w:lang w:val="da-DK"/>
              </w:rPr>
            </w:pPr>
            <w:r w:rsidRPr="00F3665A">
              <w:rPr>
                <w:lang w:val="da-DK"/>
              </w:rPr>
              <w:t xml:space="preserve">101.3.1: </w:t>
            </w:r>
            <w:r w:rsidRPr="00F3665A">
              <w:rPr>
                <w:color w:val="212529"/>
                <w:lang w:val="da-DK"/>
              </w:rPr>
              <w:t xml:space="preserve">Vi </w:t>
            </w:r>
            <w:r w:rsidR="00997678">
              <w:rPr>
                <w:color w:val="212529"/>
                <w:lang w:val="da-DK"/>
              </w:rPr>
              <w:t>fandt,</w:t>
            </w:r>
            <w:r w:rsidRPr="00F3665A">
              <w:rPr>
                <w:color w:val="212529"/>
                <w:lang w:val="da-DK"/>
              </w:rPr>
              <w:t xml:space="preserve"> for de udvalgte stikprøver, at den i virksomhedens slutafregning angivne løn under ferie som minimum </w:t>
            </w:r>
            <w:proofErr w:type="spellStart"/>
            <w:r w:rsidRPr="00F3665A">
              <w:rPr>
                <w:color w:val="212529"/>
                <w:lang w:val="da-DK"/>
              </w:rPr>
              <w:t>svare</w:t>
            </w:r>
            <w:r w:rsidR="00BE0D23">
              <w:rPr>
                <w:color w:val="212529"/>
                <w:lang w:val="da-DK"/>
              </w:rPr>
              <w:t>ede</w:t>
            </w:r>
            <w:proofErr w:type="spellEnd"/>
            <w:r w:rsidRPr="00F3665A">
              <w:rPr>
                <w:color w:val="212529"/>
                <w:lang w:val="da-DK"/>
              </w:rPr>
              <w:t xml:space="preserve"> til den faktisk afholdte bruttoløn under ferie, samt at den afholdte bruttoløn under ferie er indberettet til </w:t>
            </w:r>
            <w:proofErr w:type="spellStart"/>
            <w:r w:rsidRPr="00F3665A">
              <w:rPr>
                <w:color w:val="212529"/>
                <w:lang w:val="da-DK"/>
              </w:rPr>
              <w:t>eIndkomst</w:t>
            </w:r>
            <w:proofErr w:type="spellEnd"/>
            <w:r w:rsidRPr="00F3665A">
              <w:rPr>
                <w:rFonts w:cs="Arial"/>
                <w:color w:val="DA846B"/>
                <w:szCs w:val="18"/>
                <w:lang w:val="da-DK"/>
              </w:rPr>
              <w:t>.</w:t>
            </w:r>
          </w:p>
          <w:p w14:paraId="0BE3E773" w14:textId="77777777" w:rsidR="00247328" w:rsidRPr="00F3665A" w:rsidRDefault="00247328" w:rsidP="00247328">
            <w:pPr>
              <w:pStyle w:val="TableTextNoHanging"/>
              <w:rPr>
                <w:color w:val="212529"/>
                <w:lang w:val="da-DK"/>
              </w:rPr>
            </w:pPr>
          </w:p>
          <w:p w14:paraId="4132CCC4" w14:textId="5E2B26E6" w:rsidR="00247328" w:rsidRPr="00F3665A" w:rsidRDefault="00247328" w:rsidP="00247328">
            <w:pPr>
              <w:pStyle w:val="TableTextNoHanging"/>
              <w:rPr>
                <w:color w:val="212529"/>
                <w:lang w:val="da-DK"/>
              </w:rPr>
            </w:pPr>
            <w:r w:rsidRPr="00F3665A">
              <w:rPr>
                <w:lang w:val="da-DK"/>
              </w:rPr>
              <w:t xml:space="preserve">101.3.2: </w:t>
            </w:r>
            <w:r w:rsidRPr="00F3665A">
              <w:rPr>
                <w:color w:val="212529"/>
                <w:lang w:val="da-DK"/>
              </w:rPr>
              <w:t xml:space="preserve">Vi </w:t>
            </w:r>
            <w:r w:rsidR="00997678">
              <w:rPr>
                <w:color w:val="212529"/>
                <w:lang w:val="da-DK"/>
              </w:rPr>
              <w:t>fandt,</w:t>
            </w:r>
            <w:r w:rsidRPr="00F3665A">
              <w:rPr>
                <w:color w:val="212529"/>
                <w:lang w:val="da-DK"/>
              </w:rPr>
              <w:t xml:space="preserve"> for de udvalgte stikprøver, at den i virksomhedens slutafregning angivne afholdte bruttoløn under ferie i de måneder, som kompensationen </w:t>
            </w:r>
            <w:r w:rsidR="00BE0D23" w:rsidRPr="00F3665A">
              <w:rPr>
                <w:color w:val="212529"/>
                <w:lang w:val="da-DK"/>
              </w:rPr>
              <w:t>vedrør</w:t>
            </w:r>
            <w:r w:rsidR="00BE0D23">
              <w:rPr>
                <w:color w:val="212529"/>
                <w:lang w:val="da-DK"/>
              </w:rPr>
              <w:t>te</w:t>
            </w:r>
            <w:r w:rsidRPr="00F3665A">
              <w:rPr>
                <w:color w:val="212529"/>
                <w:lang w:val="da-DK"/>
              </w:rPr>
              <w:t xml:space="preserve">, er mindre end den registrerede bruttoløn under ferie i </w:t>
            </w:r>
            <w:proofErr w:type="spellStart"/>
            <w:r w:rsidRPr="00F3665A">
              <w:rPr>
                <w:color w:val="212529"/>
                <w:lang w:val="da-DK"/>
              </w:rPr>
              <w:t>eIndkomst</w:t>
            </w:r>
            <w:proofErr w:type="spellEnd"/>
            <w:r w:rsidRPr="00F3665A">
              <w:rPr>
                <w:color w:val="212529"/>
                <w:lang w:val="da-DK"/>
              </w:rPr>
              <w:t>.</w:t>
            </w:r>
            <w:r w:rsidRPr="00F3665A">
              <w:rPr>
                <w:color w:val="212529"/>
                <w:lang w:val="da-DK"/>
              </w:rPr>
              <w:br/>
            </w:r>
            <w:r w:rsidR="003F201C">
              <w:rPr>
                <w:color w:val="212529"/>
                <w:lang w:val="da-DK"/>
              </w:rPr>
              <w:lastRenderedPageBreak/>
              <w:t>Vi fandt d</w:t>
            </w:r>
            <w:r w:rsidRPr="00F3665A">
              <w:rPr>
                <w:color w:val="212529"/>
                <w:lang w:val="da-DK"/>
              </w:rPr>
              <w:t>ette forhold for flg. medarbejdere i stikprøven:</w:t>
            </w:r>
            <w:r w:rsidRPr="00F3665A">
              <w:rPr>
                <w:color w:val="212529"/>
                <w:lang w:val="da-DK"/>
              </w:rPr>
              <w:br/>
            </w:r>
            <w:r w:rsidRPr="00F3665A">
              <w:rPr>
                <w:highlight w:val="yellow"/>
                <w:lang w:val="da-DK"/>
              </w:rPr>
              <w:t>Navn, fødselsdato, angivet bruttoløn under ferie (kr. xx) i virksomhedens slutafregning. Den dokumenterede udbetalte bruttoløn under ferie udgør (kr. xx).</w:t>
            </w:r>
          </w:p>
          <w:p w14:paraId="54E65890" w14:textId="77777777" w:rsidR="00247328" w:rsidRPr="00F3665A" w:rsidRDefault="00247328" w:rsidP="00247328">
            <w:pPr>
              <w:pStyle w:val="TableTextNoHanging"/>
              <w:rPr>
                <w:lang w:val="da-DK"/>
              </w:rPr>
            </w:pPr>
          </w:p>
          <w:p w14:paraId="23E07297" w14:textId="77777777" w:rsidR="00247328" w:rsidRPr="00F3665A" w:rsidRDefault="00247328" w:rsidP="00247328">
            <w:pPr>
              <w:pStyle w:val="TableTextNoHanging"/>
              <w:rPr>
                <w:lang w:val="da-DK"/>
              </w:rPr>
            </w:pPr>
            <w:r w:rsidRPr="00F3665A">
              <w:rPr>
                <w:lang w:val="da-DK"/>
              </w:rPr>
              <w:t>Fritekstfelt</w:t>
            </w:r>
          </w:p>
          <w:p w14:paraId="7498E25E" w14:textId="77777777" w:rsidR="00247328" w:rsidRPr="00F3665A" w:rsidRDefault="00247328" w:rsidP="00247328">
            <w:pPr>
              <w:pStyle w:val="TableTextNoHanging"/>
              <w:rPr>
                <w:b/>
                <w:bCs/>
                <w:i/>
                <w:iCs/>
                <w:lang w:val="da-DK"/>
              </w:rPr>
            </w:pPr>
            <w:r w:rsidRPr="00F3665A">
              <w:rPr>
                <w:i/>
                <w:iCs/>
                <w:lang w:val="da-DK"/>
              </w:rPr>
              <w:t>Vejledning til beregning af værdien af funktionærers feriedage:</w:t>
            </w:r>
          </w:p>
          <w:p w14:paraId="28313659" w14:textId="77777777" w:rsidR="00247328" w:rsidRPr="00F3665A" w:rsidRDefault="00247328" w:rsidP="00247328">
            <w:pPr>
              <w:pStyle w:val="TableTextNoHanging"/>
              <w:rPr>
                <w:i/>
                <w:iCs/>
                <w:lang w:val="da-DK"/>
              </w:rPr>
            </w:pPr>
            <w:r w:rsidRPr="00F3665A">
              <w:rPr>
                <w:i/>
                <w:iCs/>
                <w:lang w:val="da-DK"/>
              </w:rPr>
              <w:t>En feriedag svarer til 4,8% af månedslønnen.</w:t>
            </w:r>
          </w:p>
          <w:p w14:paraId="02778AA8" w14:textId="77777777" w:rsidR="00247328" w:rsidRPr="00F3665A" w:rsidRDefault="00247328" w:rsidP="00247328">
            <w:pPr>
              <w:pStyle w:val="TableTextNoHanging"/>
              <w:rPr>
                <w:lang w:val="da-DK"/>
              </w:rPr>
            </w:pPr>
          </w:p>
        </w:tc>
      </w:tr>
      <w:tr w:rsidR="00F3665A" w:rsidRPr="00F3665A" w14:paraId="0167AE49" w14:textId="77777777" w:rsidTr="00635A1D">
        <w:tc>
          <w:tcPr>
            <w:tcW w:w="704" w:type="dxa"/>
          </w:tcPr>
          <w:p w14:paraId="554A3E79" w14:textId="1BCE8CAF" w:rsidR="00F3665A" w:rsidRDefault="00F3665A" w:rsidP="00F3665A">
            <w:pPr>
              <w:pStyle w:val="TableTextNoHanging"/>
              <w:rPr>
                <w:lang w:val="en-GB"/>
              </w:rPr>
            </w:pPr>
            <w:r>
              <w:rPr>
                <w:lang w:val="en-GB"/>
              </w:rPr>
              <w:lastRenderedPageBreak/>
              <w:t>102</w:t>
            </w:r>
          </w:p>
        </w:tc>
        <w:tc>
          <w:tcPr>
            <w:tcW w:w="1559" w:type="dxa"/>
          </w:tcPr>
          <w:p w14:paraId="1C4B798E" w14:textId="5DF7D14A" w:rsidR="00F3665A" w:rsidRDefault="00F3665A" w:rsidP="00F3665A">
            <w:pPr>
              <w:pStyle w:val="TableTextNoHanging"/>
            </w:pPr>
            <w:r>
              <w:t>§ 2 stk. 5</w:t>
            </w:r>
          </w:p>
        </w:tc>
        <w:tc>
          <w:tcPr>
            <w:tcW w:w="2694" w:type="dxa"/>
            <w:gridSpan w:val="2"/>
          </w:tcPr>
          <w:p w14:paraId="0724FB2C" w14:textId="0EFF77A4" w:rsidR="00F3665A" w:rsidRPr="003A010B" w:rsidRDefault="00F3665A" w:rsidP="00F3665A">
            <w:pPr>
              <w:pStyle w:val="TableTextNoHanging"/>
              <w:rPr>
                <w:color w:val="212529"/>
                <w:lang w:val="da-DK"/>
              </w:rPr>
            </w:pPr>
            <w:r w:rsidRPr="003A010B">
              <w:rPr>
                <w:lang w:val="da-DK"/>
              </w:rPr>
              <w:t>102.1:</w:t>
            </w:r>
            <w:r w:rsidRPr="003A010B">
              <w:rPr>
                <w:color w:val="212529"/>
                <w:lang w:val="da-DK"/>
              </w:rPr>
              <w:t xml:space="preserve"> Vi har for de anviste stikprøver undersøgt, om den i slutafregningssystemet angivne samlede opsparede bruttoløn til </w:t>
            </w:r>
            <w:proofErr w:type="spellStart"/>
            <w:r w:rsidRPr="003A010B">
              <w:rPr>
                <w:color w:val="212529"/>
                <w:lang w:val="da-DK"/>
              </w:rPr>
              <w:t>fritvalg</w:t>
            </w:r>
            <w:proofErr w:type="spellEnd"/>
            <w:r w:rsidRPr="003A010B">
              <w:rPr>
                <w:color w:val="212529"/>
                <w:lang w:val="da-DK"/>
              </w:rPr>
              <w:t>, søgnehelligdage eller tilsvarende ordning svare</w:t>
            </w:r>
            <w:r w:rsidR="002871AF">
              <w:rPr>
                <w:color w:val="212529"/>
                <w:lang w:val="da-DK"/>
              </w:rPr>
              <w:t>r</w:t>
            </w:r>
            <w:r w:rsidRPr="003A010B">
              <w:rPr>
                <w:color w:val="212529"/>
                <w:lang w:val="da-DK"/>
              </w:rPr>
              <w:t xml:space="preserve"> til medarbejderens ansættelsesvilkår i kompensationsperioden og fremgår af medarbejderens ansættelseskontrakt* eller overenskomst samt virksomhedens lønsystem eller bogholderi.</w:t>
            </w:r>
            <w:r w:rsidRPr="003A010B">
              <w:rPr>
                <w:color w:val="212529"/>
                <w:lang w:val="da-DK"/>
              </w:rPr>
              <w:br/>
            </w:r>
            <w:r w:rsidRPr="0005518B">
              <w:rPr>
                <w:color w:val="212529"/>
                <w:lang w:val="da-DK"/>
              </w:rPr>
              <w:t>*Typisk en procentsats i forhold til den optjente løn.</w:t>
            </w:r>
          </w:p>
          <w:p w14:paraId="30C4810E" w14:textId="77777777" w:rsidR="00F3665A" w:rsidRPr="003A010B" w:rsidRDefault="00F3665A" w:rsidP="00F3665A">
            <w:pPr>
              <w:pStyle w:val="TableTextNoHanging"/>
              <w:rPr>
                <w:lang w:val="da-DK"/>
              </w:rPr>
            </w:pPr>
          </w:p>
          <w:p w14:paraId="7D97C728" w14:textId="77777777" w:rsidR="00F3665A" w:rsidRPr="003A010B" w:rsidRDefault="00F3665A" w:rsidP="00F3665A">
            <w:pPr>
              <w:pStyle w:val="TableTextNoHanging"/>
              <w:rPr>
                <w:rFonts w:cs="Arial"/>
                <w:color w:val="FFFFFF"/>
                <w:szCs w:val="18"/>
                <w:lang w:val="da-DK"/>
              </w:rPr>
            </w:pPr>
            <w:r w:rsidRPr="003A010B">
              <w:rPr>
                <w:color w:val="212529"/>
                <w:lang w:val="da-DK"/>
              </w:rPr>
              <w:t xml:space="preserve">102.2: Vi har for de anviste stikprøver undersøgt om den i slutafregningssystemet angivne bruttoløn, som hidrører fra </w:t>
            </w:r>
            <w:proofErr w:type="spellStart"/>
            <w:r w:rsidRPr="003A010B">
              <w:rPr>
                <w:color w:val="212529"/>
                <w:lang w:val="da-DK"/>
              </w:rPr>
              <w:t>fritvalg</w:t>
            </w:r>
            <w:proofErr w:type="spellEnd"/>
            <w:r w:rsidRPr="003A010B">
              <w:rPr>
                <w:color w:val="212529"/>
                <w:lang w:val="da-DK"/>
              </w:rPr>
              <w:t xml:space="preserve">, søgnehelligdage eller tilsvarende ordning, højst svarer til den udbetalte bruttoløn som hidrører fra </w:t>
            </w:r>
            <w:proofErr w:type="spellStart"/>
            <w:r w:rsidRPr="003A010B">
              <w:rPr>
                <w:color w:val="212529"/>
                <w:lang w:val="da-DK"/>
              </w:rPr>
              <w:t>fritvalg</w:t>
            </w:r>
            <w:proofErr w:type="spellEnd"/>
            <w:r w:rsidRPr="003A010B">
              <w:rPr>
                <w:color w:val="212529"/>
                <w:lang w:val="da-DK"/>
              </w:rPr>
              <w:t xml:space="preserve">, søgnehelligdage eller tilsvarende ordning samt, at den udbetalte bruttoløn, som hidrører fra </w:t>
            </w:r>
            <w:proofErr w:type="spellStart"/>
            <w:r w:rsidRPr="003A010B">
              <w:rPr>
                <w:color w:val="212529"/>
                <w:lang w:val="da-DK"/>
              </w:rPr>
              <w:t>fritvalg</w:t>
            </w:r>
            <w:proofErr w:type="spellEnd"/>
            <w:r w:rsidRPr="003A010B">
              <w:rPr>
                <w:color w:val="212529"/>
                <w:lang w:val="da-DK"/>
              </w:rPr>
              <w:t xml:space="preserve">, søgnehelligdage eller tilsvarende ordning, er indberettet til </w:t>
            </w:r>
            <w:proofErr w:type="spellStart"/>
            <w:r w:rsidRPr="003A010B">
              <w:rPr>
                <w:color w:val="212529"/>
                <w:lang w:val="da-DK"/>
              </w:rPr>
              <w:t>eIndkomst</w:t>
            </w:r>
            <w:proofErr w:type="spellEnd"/>
            <w:r w:rsidRPr="003A010B">
              <w:rPr>
                <w:rFonts w:cs="Arial"/>
                <w:color w:val="DA846B"/>
                <w:szCs w:val="18"/>
                <w:lang w:val="da-DK"/>
              </w:rPr>
              <w:t>.</w:t>
            </w:r>
          </w:p>
          <w:p w14:paraId="16830F03" w14:textId="77777777" w:rsidR="00F3665A" w:rsidRPr="00F3665A" w:rsidRDefault="00F3665A" w:rsidP="00F3665A">
            <w:pPr>
              <w:pStyle w:val="TableTextNoHanging"/>
              <w:rPr>
                <w:lang w:val="da-DK"/>
              </w:rPr>
            </w:pPr>
          </w:p>
        </w:tc>
        <w:tc>
          <w:tcPr>
            <w:tcW w:w="3969" w:type="dxa"/>
          </w:tcPr>
          <w:p w14:paraId="42C037E7" w14:textId="019BC11C" w:rsidR="00F3665A" w:rsidRPr="00F3665A" w:rsidRDefault="00F3665A" w:rsidP="00F3665A">
            <w:pPr>
              <w:pStyle w:val="TableTextNoHanging"/>
              <w:rPr>
                <w:color w:val="212529"/>
                <w:lang w:val="da-DK"/>
              </w:rPr>
            </w:pPr>
            <w:r w:rsidRPr="00F3665A">
              <w:rPr>
                <w:lang w:val="da-DK"/>
              </w:rPr>
              <w:t xml:space="preserve">102.1.1: </w:t>
            </w:r>
            <w:r w:rsidRPr="00F3665A">
              <w:rPr>
                <w:color w:val="212529"/>
                <w:lang w:val="da-DK"/>
              </w:rPr>
              <w:t xml:space="preserve">Vi </w:t>
            </w:r>
            <w:r w:rsidR="00997678">
              <w:rPr>
                <w:color w:val="212529"/>
                <w:lang w:val="da-DK"/>
              </w:rPr>
              <w:t xml:space="preserve">fandt, </w:t>
            </w:r>
            <w:r w:rsidRPr="00F3665A">
              <w:rPr>
                <w:color w:val="212529"/>
                <w:lang w:val="da-DK"/>
              </w:rPr>
              <w:t xml:space="preserve">for de anviste stikprøver, at den angivne samlede opsparede bruttoløn til </w:t>
            </w:r>
            <w:proofErr w:type="spellStart"/>
            <w:r w:rsidRPr="00F3665A">
              <w:rPr>
                <w:color w:val="212529"/>
                <w:lang w:val="da-DK"/>
              </w:rPr>
              <w:t>fritvalg</w:t>
            </w:r>
            <w:proofErr w:type="spellEnd"/>
            <w:r w:rsidRPr="00F3665A">
              <w:rPr>
                <w:color w:val="212529"/>
                <w:lang w:val="da-DK"/>
              </w:rPr>
              <w:t>, søgnehelligdage eller tilsvarende ordning i virksomhedens slutafregning, højst svare</w:t>
            </w:r>
            <w:r w:rsidR="00BE0D23">
              <w:rPr>
                <w:color w:val="212529"/>
                <w:lang w:val="da-DK"/>
              </w:rPr>
              <w:t>de</w:t>
            </w:r>
            <w:r w:rsidRPr="00F3665A">
              <w:rPr>
                <w:color w:val="212529"/>
                <w:lang w:val="da-DK"/>
              </w:rPr>
              <w:t xml:space="preserve"> til medarbejderens ansættelsesvilkår i kompensationsperioden og fremgår af medarbejderens ansættelseskontrakt eller overenskomst samt virksomhedens lønsystem eller bogholderi.</w:t>
            </w:r>
            <w:r w:rsidRPr="00F3665A">
              <w:rPr>
                <w:color w:val="212529"/>
                <w:lang w:val="da-DK"/>
              </w:rPr>
              <w:br/>
            </w:r>
          </w:p>
          <w:p w14:paraId="632D61D2" w14:textId="399B6AA7" w:rsidR="00F3665A" w:rsidRPr="00F3665A" w:rsidRDefault="00F3665A" w:rsidP="00F3665A">
            <w:pPr>
              <w:pStyle w:val="TableTextNoHanging"/>
              <w:rPr>
                <w:lang w:val="da-DK"/>
              </w:rPr>
            </w:pPr>
            <w:r w:rsidRPr="00F3665A">
              <w:rPr>
                <w:color w:val="212529"/>
                <w:lang w:val="da-DK"/>
              </w:rPr>
              <w:t xml:space="preserve">102.1.2:  Vi </w:t>
            </w:r>
            <w:r w:rsidR="00997678">
              <w:rPr>
                <w:color w:val="212529"/>
                <w:lang w:val="da-DK"/>
              </w:rPr>
              <w:t>fandt,</w:t>
            </w:r>
            <w:r w:rsidRPr="00F3665A">
              <w:rPr>
                <w:color w:val="212529"/>
                <w:lang w:val="da-DK"/>
              </w:rPr>
              <w:t xml:space="preserve"> for de anviste stikprøver, at der ikke </w:t>
            </w:r>
            <w:r w:rsidR="00BE0D23">
              <w:rPr>
                <w:color w:val="212529"/>
                <w:lang w:val="da-DK"/>
              </w:rPr>
              <w:t>var</w:t>
            </w:r>
            <w:r w:rsidR="00BE0D23" w:rsidRPr="00F3665A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dokumentation for den angivne opsparede bruttoløn til </w:t>
            </w:r>
            <w:proofErr w:type="spellStart"/>
            <w:r w:rsidRPr="00F3665A">
              <w:rPr>
                <w:color w:val="212529"/>
                <w:lang w:val="da-DK"/>
              </w:rPr>
              <w:t>fritvalg</w:t>
            </w:r>
            <w:proofErr w:type="spellEnd"/>
            <w:r w:rsidRPr="00F3665A">
              <w:rPr>
                <w:color w:val="212529"/>
                <w:lang w:val="da-DK"/>
              </w:rPr>
              <w:t xml:space="preserve">, søgnehelligdage eller tilsvarende ordning i medarbejderens ansættelsesvilkår, overenskomst eller virksomhedens lønsystem eller bogholderi. </w:t>
            </w:r>
            <w:r w:rsidRPr="00F3665A">
              <w:rPr>
                <w:color w:val="212529"/>
                <w:lang w:val="da-DK"/>
              </w:rPr>
              <w:br/>
            </w:r>
            <w:r w:rsidR="003F201C">
              <w:rPr>
                <w:color w:val="212529"/>
                <w:lang w:val="da-DK"/>
              </w:rPr>
              <w:t>Vi fandt d</w:t>
            </w:r>
            <w:r w:rsidRPr="00F3665A">
              <w:rPr>
                <w:color w:val="212529"/>
                <w:lang w:val="da-DK"/>
              </w:rPr>
              <w:t>ette forhold for flg. medarbejdere i stikprøven:</w:t>
            </w:r>
            <w:r w:rsidRPr="00F3665A">
              <w:rPr>
                <w:color w:val="212529"/>
                <w:lang w:val="da-DK"/>
              </w:rPr>
              <w:br/>
            </w:r>
            <w:r w:rsidRPr="00F3665A">
              <w:rPr>
                <w:highlight w:val="yellow"/>
                <w:lang w:val="da-DK"/>
              </w:rPr>
              <w:t>Navn, fødselsdato, angivet bruttoløn som hidrører fra</w:t>
            </w:r>
            <w:r w:rsidRPr="00F3665A">
              <w:rPr>
                <w:color w:val="212529"/>
                <w:highlight w:val="yellow"/>
                <w:lang w:val="da-DK"/>
              </w:rPr>
              <w:t xml:space="preserve"> </w:t>
            </w:r>
            <w:proofErr w:type="spellStart"/>
            <w:r w:rsidRPr="00F3665A">
              <w:rPr>
                <w:color w:val="212529"/>
                <w:highlight w:val="yellow"/>
                <w:lang w:val="da-DK"/>
              </w:rPr>
              <w:t>fritvalg</w:t>
            </w:r>
            <w:proofErr w:type="spellEnd"/>
            <w:r w:rsidRPr="00F3665A">
              <w:rPr>
                <w:color w:val="212529"/>
                <w:highlight w:val="yellow"/>
                <w:lang w:val="da-DK"/>
              </w:rPr>
              <w:t xml:space="preserve">, søgnehelligdage eller tilsvarende ordning </w:t>
            </w:r>
            <w:r w:rsidRPr="00F3665A">
              <w:rPr>
                <w:highlight w:val="yellow"/>
                <w:lang w:val="da-DK"/>
              </w:rPr>
              <w:t>(kr. xx) i virksomhedens slutafregning. Den dokumenteret opsparet bruttoløn som hidrør</w:t>
            </w:r>
            <w:r w:rsidRPr="00F3665A">
              <w:rPr>
                <w:color w:val="212529"/>
                <w:highlight w:val="yellow"/>
                <w:lang w:val="da-DK"/>
              </w:rPr>
              <w:t xml:space="preserve"> </w:t>
            </w:r>
            <w:proofErr w:type="spellStart"/>
            <w:r w:rsidRPr="00F3665A">
              <w:rPr>
                <w:color w:val="212529"/>
                <w:highlight w:val="yellow"/>
                <w:lang w:val="da-DK"/>
              </w:rPr>
              <w:t>fritvalg</w:t>
            </w:r>
            <w:proofErr w:type="spellEnd"/>
            <w:r w:rsidRPr="00F3665A">
              <w:rPr>
                <w:color w:val="212529"/>
                <w:highlight w:val="yellow"/>
                <w:lang w:val="da-DK"/>
              </w:rPr>
              <w:t xml:space="preserve">, søgnehelligdage eller tilsvarende ordning </w:t>
            </w:r>
            <w:r w:rsidRPr="00F3665A">
              <w:rPr>
                <w:highlight w:val="yellow"/>
                <w:lang w:val="da-DK"/>
              </w:rPr>
              <w:t>bruttoferiepengebeløb udgør (kr. xx) i virksomhedens lønsystem eller bogholderi.</w:t>
            </w:r>
          </w:p>
          <w:p w14:paraId="5F0EAB60" w14:textId="77777777" w:rsidR="00F3665A" w:rsidRPr="00F3665A" w:rsidRDefault="00F3665A" w:rsidP="00F3665A">
            <w:pPr>
              <w:pStyle w:val="TableTextNoHanging"/>
              <w:rPr>
                <w:lang w:val="da-DK"/>
              </w:rPr>
            </w:pPr>
          </w:p>
          <w:p w14:paraId="50D165E7" w14:textId="77777777" w:rsidR="00F3665A" w:rsidRPr="00F3665A" w:rsidRDefault="00F3665A" w:rsidP="00F3665A">
            <w:pPr>
              <w:pStyle w:val="TableTextNoHanging"/>
              <w:rPr>
                <w:lang w:val="da-DK"/>
              </w:rPr>
            </w:pPr>
          </w:p>
          <w:p w14:paraId="0C3F3B91" w14:textId="24E44752" w:rsidR="00F3665A" w:rsidRPr="00F3665A" w:rsidRDefault="00F3665A" w:rsidP="00F3665A">
            <w:pPr>
              <w:pStyle w:val="TableTextNoHanging"/>
              <w:rPr>
                <w:lang w:val="da-DK"/>
              </w:rPr>
            </w:pPr>
            <w:r w:rsidRPr="00F3665A">
              <w:rPr>
                <w:lang w:val="da-DK"/>
              </w:rPr>
              <w:t xml:space="preserve">102.2.1: </w:t>
            </w:r>
            <w:r w:rsidRPr="00F3665A">
              <w:rPr>
                <w:color w:val="212529"/>
                <w:lang w:val="da-DK"/>
              </w:rPr>
              <w:t xml:space="preserve">Vi </w:t>
            </w:r>
            <w:r w:rsidR="005D1152">
              <w:rPr>
                <w:color w:val="212529"/>
                <w:lang w:val="da-DK"/>
              </w:rPr>
              <w:t>fandt,</w:t>
            </w:r>
            <w:r w:rsidR="005D1152" w:rsidRPr="00F3665A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for de anviste stikprøver, at den angivne udbetalte bruttoløn i virksomhedens slutafregning, som </w:t>
            </w:r>
            <w:r w:rsidR="006848E7" w:rsidRPr="00F3665A">
              <w:rPr>
                <w:color w:val="212529"/>
                <w:lang w:val="da-DK"/>
              </w:rPr>
              <w:t>hidrør</w:t>
            </w:r>
            <w:r w:rsidR="006848E7">
              <w:rPr>
                <w:color w:val="212529"/>
                <w:lang w:val="da-DK"/>
              </w:rPr>
              <w:t>te</w:t>
            </w:r>
            <w:r w:rsidR="006848E7" w:rsidRPr="00F3665A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fra </w:t>
            </w:r>
            <w:proofErr w:type="spellStart"/>
            <w:r w:rsidRPr="00F3665A">
              <w:rPr>
                <w:color w:val="212529"/>
                <w:lang w:val="da-DK"/>
              </w:rPr>
              <w:t>fritvalg</w:t>
            </w:r>
            <w:proofErr w:type="spellEnd"/>
            <w:r w:rsidRPr="00F3665A">
              <w:rPr>
                <w:color w:val="212529"/>
                <w:lang w:val="da-DK"/>
              </w:rPr>
              <w:t>, søgnehelligdage eller tilsvarende ordning</w:t>
            </w:r>
            <w:r w:rsidRPr="00F3665A" w:rsidDel="00955BBE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i de lønperioder, som kompensationen vedrører, højst svarer til den angivende udbetalte bruttoløn som hidrører fra </w:t>
            </w:r>
            <w:proofErr w:type="spellStart"/>
            <w:r w:rsidRPr="00F3665A">
              <w:rPr>
                <w:color w:val="212529"/>
                <w:lang w:val="da-DK"/>
              </w:rPr>
              <w:t>fritvalg</w:t>
            </w:r>
            <w:proofErr w:type="spellEnd"/>
            <w:r w:rsidRPr="00F3665A">
              <w:rPr>
                <w:color w:val="212529"/>
                <w:lang w:val="da-DK"/>
              </w:rPr>
              <w:t>, søgnehelligdage eller tilsvarende ordning</w:t>
            </w:r>
            <w:r w:rsidRPr="00F3665A" w:rsidDel="00955BBE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i </w:t>
            </w:r>
            <w:proofErr w:type="spellStart"/>
            <w:r w:rsidRPr="00F3665A">
              <w:rPr>
                <w:color w:val="212529"/>
                <w:lang w:val="da-DK"/>
              </w:rPr>
              <w:t>eIndkomst</w:t>
            </w:r>
            <w:proofErr w:type="spellEnd"/>
            <w:r w:rsidRPr="00F3665A">
              <w:rPr>
                <w:color w:val="212529"/>
                <w:lang w:val="da-DK"/>
              </w:rPr>
              <w:t>, virksomhedens eventuelle lønsystem og virksomhedens bogholderi.</w:t>
            </w:r>
            <w:r w:rsidRPr="00F3665A">
              <w:rPr>
                <w:color w:val="212529"/>
                <w:lang w:val="da-DK"/>
              </w:rPr>
              <w:br/>
            </w:r>
          </w:p>
          <w:p w14:paraId="70DCEBAF" w14:textId="7750801E" w:rsidR="00F3665A" w:rsidRPr="00F3665A" w:rsidRDefault="00F3665A" w:rsidP="00F3665A">
            <w:pPr>
              <w:pStyle w:val="TableTextNoHanging"/>
              <w:rPr>
                <w:lang w:val="da-DK"/>
              </w:rPr>
            </w:pPr>
            <w:r w:rsidRPr="00F3665A">
              <w:rPr>
                <w:lang w:val="da-DK"/>
              </w:rPr>
              <w:t xml:space="preserve">102.2.2: </w:t>
            </w:r>
            <w:r w:rsidRPr="00F3665A">
              <w:rPr>
                <w:color w:val="212529"/>
                <w:lang w:val="da-DK"/>
              </w:rPr>
              <w:t xml:space="preserve">Vi </w:t>
            </w:r>
            <w:r w:rsidR="005D1152">
              <w:rPr>
                <w:color w:val="212529"/>
                <w:lang w:val="da-DK"/>
              </w:rPr>
              <w:t>fandt,</w:t>
            </w:r>
            <w:r w:rsidRPr="00F3665A">
              <w:rPr>
                <w:color w:val="212529"/>
                <w:lang w:val="da-DK"/>
              </w:rPr>
              <w:t xml:space="preserve"> for de anv</w:t>
            </w:r>
            <w:r w:rsidR="002871AF">
              <w:rPr>
                <w:color w:val="212529"/>
                <w:lang w:val="da-DK"/>
              </w:rPr>
              <w:t>i</w:t>
            </w:r>
            <w:r w:rsidRPr="00F3665A">
              <w:rPr>
                <w:color w:val="212529"/>
                <w:lang w:val="da-DK"/>
              </w:rPr>
              <w:t xml:space="preserve">ste stikprøver, at den angivne udbetalte bruttoløn </w:t>
            </w:r>
            <w:r w:rsidRPr="00F3665A">
              <w:rPr>
                <w:lang w:val="da-DK"/>
              </w:rPr>
              <w:t xml:space="preserve">i virksomhedens slutafregning, som </w:t>
            </w:r>
            <w:r w:rsidR="004053E8" w:rsidRPr="00F3665A">
              <w:rPr>
                <w:lang w:val="da-DK"/>
              </w:rPr>
              <w:t>hidrør</w:t>
            </w:r>
            <w:r w:rsidR="004053E8">
              <w:rPr>
                <w:lang w:val="da-DK"/>
              </w:rPr>
              <w:t>te</w:t>
            </w:r>
            <w:r w:rsidR="004053E8" w:rsidRPr="00F3665A">
              <w:rPr>
                <w:lang w:val="da-DK"/>
              </w:rPr>
              <w:t xml:space="preserve"> </w:t>
            </w:r>
            <w:r w:rsidRPr="00F3665A">
              <w:rPr>
                <w:lang w:val="da-DK"/>
              </w:rPr>
              <w:t>fra</w:t>
            </w:r>
            <w:r w:rsidRPr="00F3665A">
              <w:rPr>
                <w:color w:val="212529"/>
                <w:lang w:val="da-DK"/>
              </w:rPr>
              <w:t xml:space="preserve"> </w:t>
            </w:r>
            <w:proofErr w:type="spellStart"/>
            <w:r w:rsidRPr="00F3665A">
              <w:rPr>
                <w:color w:val="212529"/>
                <w:lang w:val="da-DK"/>
              </w:rPr>
              <w:t>fritvalg</w:t>
            </w:r>
            <w:proofErr w:type="spellEnd"/>
            <w:r w:rsidRPr="00F3665A">
              <w:rPr>
                <w:color w:val="212529"/>
                <w:lang w:val="da-DK"/>
              </w:rPr>
              <w:t>, søgnehelligdage eller tilsvarende</w:t>
            </w:r>
            <w:r w:rsidRPr="00F3665A">
              <w:rPr>
                <w:color w:val="212529"/>
                <w:highlight w:val="yellow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 ordning,</w:t>
            </w:r>
            <w:r w:rsidRPr="00F3665A" w:rsidDel="00955BBE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>i de lønperioder</w:t>
            </w:r>
            <w:r w:rsidRPr="00F3665A" w:rsidDel="009F11CF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kompensationen </w:t>
            </w:r>
            <w:r w:rsidR="004053E8" w:rsidRPr="00F3665A">
              <w:rPr>
                <w:color w:val="212529"/>
                <w:lang w:val="da-DK"/>
              </w:rPr>
              <w:t>vedrør</w:t>
            </w:r>
            <w:r w:rsidR="004053E8">
              <w:rPr>
                <w:color w:val="212529"/>
                <w:lang w:val="da-DK"/>
              </w:rPr>
              <w:t>te</w:t>
            </w:r>
            <w:r w:rsidRPr="00F3665A">
              <w:rPr>
                <w:color w:val="212529"/>
                <w:lang w:val="da-DK"/>
              </w:rPr>
              <w:t xml:space="preserve">, </w:t>
            </w:r>
            <w:r w:rsidR="004053E8">
              <w:rPr>
                <w:color w:val="212529"/>
                <w:lang w:val="da-DK"/>
              </w:rPr>
              <w:t>var</w:t>
            </w:r>
            <w:r w:rsidR="004053E8" w:rsidRPr="00F3665A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mindre end den registrerede udbetalte bruttoløn, som </w:t>
            </w:r>
            <w:r w:rsidR="004053E8" w:rsidRPr="00F3665A">
              <w:rPr>
                <w:color w:val="212529"/>
                <w:lang w:val="da-DK"/>
              </w:rPr>
              <w:t>hidrør</w:t>
            </w:r>
            <w:r w:rsidR="004053E8">
              <w:rPr>
                <w:color w:val="212529"/>
                <w:lang w:val="da-DK"/>
              </w:rPr>
              <w:t>te</w:t>
            </w:r>
            <w:r w:rsidR="004053E8" w:rsidRPr="00F3665A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fra </w:t>
            </w:r>
            <w:proofErr w:type="spellStart"/>
            <w:r w:rsidRPr="00F3665A">
              <w:rPr>
                <w:color w:val="212529"/>
                <w:lang w:val="da-DK"/>
              </w:rPr>
              <w:t>fritvalg</w:t>
            </w:r>
            <w:proofErr w:type="spellEnd"/>
            <w:r w:rsidRPr="00F3665A">
              <w:rPr>
                <w:color w:val="212529"/>
                <w:lang w:val="da-DK"/>
              </w:rPr>
              <w:t>, søgnehelligdage eller tilsvarende ordning</w:t>
            </w:r>
            <w:r w:rsidRPr="00F3665A" w:rsidDel="00955BBE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>i de lønperioder</w:t>
            </w:r>
            <w:r w:rsidRPr="00F3665A" w:rsidDel="00107662">
              <w:rPr>
                <w:color w:val="212529"/>
                <w:lang w:val="da-DK"/>
              </w:rPr>
              <w:t xml:space="preserve"> </w:t>
            </w:r>
            <w:r w:rsidRPr="00F3665A">
              <w:rPr>
                <w:color w:val="212529"/>
                <w:lang w:val="da-DK"/>
              </w:rPr>
              <w:t xml:space="preserve">i </w:t>
            </w:r>
            <w:proofErr w:type="spellStart"/>
            <w:r w:rsidRPr="00F3665A">
              <w:rPr>
                <w:color w:val="212529"/>
                <w:lang w:val="da-DK"/>
              </w:rPr>
              <w:t>eIndkomst</w:t>
            </w:r>
            <w:proofErr w:type="spellEnd"/>
            <w:r w:rsidRPr="00F3665A">
              <w:rPr>
                <w:color w:val="212529"/>
                <w:lang w:val="da-DK"/>
              </w:rPr>
              <w:t xml:space="preserve">, virksomhedens </w:t>
            </w:r>
            <w:r w:rsidRPr="00F3665A">
              <w:rPr>
                <w:color w:val="212529"/>
                <w:lang w:val="da-DK"/>
              </w:rPr>
              <w:lastRenderedPageBreak/>
              <w:t>eventuelle lønsystem og virksomhedens bogholderi.</w:t>
            </w:r>
            <w:r w:rsidRPr="00F3665A">
              <w:rPr>
                <w:color w:val="212529"/>
                <w:lang w:val="da-DK"/>
              </w:rPr>
              <w:br/>
            </w:r>
            <w:r w:rsidR="003F201C">
              <w:rPr>
                <w:color w:val="212529"/>
                <w:lang w:val="da-DK"/>
              </w:rPr>
              <w:t>Vi fandt d</w:t>
            </w:r>
            <w:r w:rsidR="003F201C" w:rsidRPr="00F3665A">
              <w:rPr>
                <w:color w:val="212529"/>
                <w:lang w:val="da-DK"/>
              </w:rPr>
              <w:t xml:space="preserve">ette </w:t>
            </w:r>
            <w:r w:rsidRPr="00F3665A">
              <w:rPr>
                <w:color w:val="212529"/>
                <w:lang w:val="da-DK"/>
              </w:rPr>
              <w:t>forhold for flg. medarbejdere i stikprøven:</w:t>
            </w:r>
            <w:r w:rsidRPr="00F3665A">
              <w:rPr>
                <w:color w:val="212529"/>
                <w:lang w:val="da-DK"/>
              </w:rPr>
              <w:br/>
            </w:r>
            <w:r w:rsidRPr="00F3665A">
              <w:rPr>
                <w:highlight w:val="yellow"/>
                <w:lang w:val="da-DK"/>
              </w:rPr>
              <w:t>Navn, fødselsdato, angivne udbetalte bruttoløn som hidrører fra</w:t>
            </w:r>
            <w:r w:rsidRPr="00F3665A">
              <w:rPr>
                <w:color w:val="212529"/>
                <w:highlight w:val="yellow"/>
                <w:lang w:val="da-DK"/>
              </w:rPr>
              <w:t xml:space="preserve"> </w:t>
            </w:r>
            <w:proofErr w:type="spellStart"/>
            <w:r w:rsidRPr="00F3665A">
              <w:rPr>
                <w:color w:val="212529"/>
                <w:highlight w:val="yellow"/>
                <w:lang w:val="da-DK"/>
              </w:rPr>
              <w:t>fritvalg</w:t>
            </w:r>
            <w:proofErr w:type="spellEnd"/>
            <w:r w:rsidRPr="00F3665A">
              <w:rPr>
                <w:color w:val="212529"/>
                <w:highlight w:val="yellow"/>
                <w:lang w:val="da-DK"/>
              </w:rPr>
              <w:t xml:space="preserve">, søgnehelligdage eller tilsvarende ordning </w:t>
            </w:r>
            <w:r w:rsidRPr="00F3665A">
              <w:rPr>
                <w:highlight w:val="yellow"/>
                <w:lang w:val="da-DK"/>
              </w:rPr>
              <w:t>(kr. xx) i virksomhedens slutafregning. Den dokumenteret udbetalte bruttoløn som hidrører fra</w:t>
            </w:r>
            <w:r w:rsidRPr="00F3665A">
              <w:rPr>
                <w:color w:val="212529"/>
                <w:highlight w:val="yellow"/>
                <w:lang w:val="da-DK"/>
              </w:rPr>
              <w:t xml:space="preserve"> </w:t>
            </w:r>
            <w:proofErr w:type="spellStart"/>
            <w:r w:rsidRPr="00F3665A">
              <w:rPr>
                <w:color w:val="212529"/>
                <w:highlight w:val="yellow"/>
                <w:lang w:val="da-DK"/>
              </w:rPr>
              <w:t>fritvalg</w:t>
            </w:r>
            <w:proofErr w:type="spellEnd"/>
            <w:r w:rsidRPr="00F3665A">
              <w:rPr>
                <w:color w:val="212529"/>
                <w:highlight w:val="yellow"/>
                <w:lang w:val="da-DK"/>
              </w:rPr>
              <w:t xml:space="preserve">, søgnehelligdage eller tilsvarende ordning </w:t>
            </w:r>
            <w:r w:rsidRPr="00F3665A">
              <w:rPr>
                <w:highlight w:val="yellow"/>
                <w:lang w:val="da-DK"/>
              </w:rPr>
              <w:t>udgør (kr. xx) i virksomhedens lønsystem eller bogholderi.</w:t>
            </w:r>
          </w:p>
          <w:p w14:paraId="664A99C0" w14:textId="77777777" w:rsidR="00F3665A" w:rsidRPr="00F3665A" w:rsidRDefault="00F3665A" w:rsidP="00F3665A">
            <w:pPr>
              <w:pStyle w:val="TableTextNoHanging"/>
              <w:rPr>
                <w:lang w:val="da-DK"/>
              </w:rPr>
            </w:pPr>
          </w:p>
          <w:p w14:paraId="3CE39213" w14:textId="56F93A48" w:rsidR="00F3665A" w:rsidRPr="00F3665A" w:rsidRDefault="00F3665A" w:rsidP="00F3665A">
            <w:pPr>
              <w:pStyle w:val="TableTextNoHanging"/>
            </w:pPr>
            <w:proofErr w:type="spellStart"/>
            <w:r>
              <w:t>Fritekstfelt</w:t>
            </w:r>
            <w:proofErr w:type="spellEnd"/>
          </w:p>
        </w:tc>
      </w:tr>
      <w:bookmarkEnd w:id="1"/>
    </w:tbl>
    <w:p w14:paraId="006768BA" w14:textId="30C19BA6" w:rsidR="00965F12" w:rsidRDefault="00965F12"/>
    <w:p w14:paraId="4920DC00" w14:textId="77777777" w:rsidR="00B66591" w:rsidRPr="002115BF" w:rsidRDefault="00B66591" w:rsidP="00B66591">
      <w:pPr>
        <w:rPr>
          <w:sz w:val="18"/>
          <w:lang w:eastAsia="en-AU"/>
        </w:rPr>
      </w:pPr>
      <w:r>
        <w:rPr>
          <w:sz w:val="18"/>
          <w:lang w:eastAsia="en-AU"/>
        </w:rPr>
        <w:t>[Revisionsvirksomhedens by]</w:t>
      </w:r>
      <w:r w:rsidRPr="002115BF">
        <w:rPr>
          <w:sz w:val="18"/>
          <w:lang w:eastAsia="en-AU"/>
        </w:rPr>
        <w:t>, dato</w:t>
      </w:r>
    </w:p>
    <w:p w14:paraId="0CA4D26E" w14:textId="77777777" w:rsidR="00B66591" w:rsidRPr="002115BF" w:rsidRDefault="00B66591" w:rsidP="00B66591">
      <w:pPr>
        <w:rPr>
          <w:sz w:val="18"/>
          <w:lang w:eastAsia="en-AU"/>
        </w:rPr>
      </w:pPr>
    </w:p>
    <w:p w14:paraId="2A29850D" w14:textId="77777777" w:rsidR="00B66591" w:rsidRPr="002115BF" w:rsidRDefault="00B66591" w:rsidP="00B66591">
      <w:pPr>
        <w:rPr>
          <w:sz w:val="18"/>
          <w:lang w:eastAsia="en-AU"/>
        </w:rPr>
      </w:pPr>
      <w:r w:rsidRPr="002115BF">
        <w:rPr>
          <w:sz w:val="18"/>
          <w:lang w:eastAsia="en-AU"/>
        </w:rPr>
        <w:t>Revisionsvirksomhedens navn</w:t>
      </w:r>
    </w:p>
    <w:p w14:paraId="15E21B51" w14:textId="77777777" w:rsidR="00B66591" w:rsidRDefault="00B66591" w:rsidP="00B66591">
      <w:pPr>
        <w:rPr>
          <w:sz w:val="18"/>
          <w:lang w:eastAsia="en-AU"/>
        </w:rPr>
      </w:pPr>
      <w:r w:rsidRPr="002115BF">
        <w:rPr>
          <w:sz w:val="18"/>
          <w:lang w:eastAsia="en-AU"/>
        </w:rPr>
        <w:t xml:space="preserve">CVR-nr. xx </w:t>
      </w:r>
      <w:proofErr w:type="spellStart"/>
      <w:r w:rsidRPr="002115BF">
        <w:rPr>
          <w:sz w:val="18"/>
          <w:lang w:eastAsia="en-AU"/>
        </w:rPr>
        <w:t>xx</w:t>
      </w:r>
      <w:proofErr w:type="spellEnd"/>
      <w:r w:rsidRPr="002115BF">
        <w:rPr>
          <w:sz w:val="18"/>
          <w:lang w:eastAsia="en-AU"/>
        </w:rPr>
        <w:t xml:space="preserve"> </w:t>
      </w:r>
      <w:proofErr w:type="spellStart"/>
      <w:r w:rsidRPr="002115BF">
        <w:rPr>
          <w:sz w:val="18"/>
          <w:lang w:eastAsia="en-AU"/>
        </w:rPr>
        <w:t>xx</w:t>
      </w:r>
      <w:proofErr w:type="spellEnd"/>
      <w:r w:rsidRPr="002115BF">
        <w:rPr>
          <w:sz w:val="18"/>
          <w:lang w:eastAsia="en-AU"/>
        </w:rPr>
        <w:t xml:space="preserve"> </w:t>
      </w:r>
      <w:proofErr w:type="spellStart"/>
      <w:r w:rsidRPr="002115BF">
        <w:rPr>
          <w:sz w:val="18"/>
          <w:lang w:eastAsia="en-AU"/>
        </w:rPr>
        <w:t>xx</w:t>
      </w:r>
      <w:proofErr w:type="spellEnd"/>
    </w:p>
    <w:p w14:paraId="1E3EB2DE" w14:textId="77777777" w:rsidR="00B66591" w:rsidRPr="002115BF" w:rsidRDefault="00B66591" w:rsidP="00B66591">
      <w:pPr>
        <w:rPr>
          <w:sz w:val="18"/>
          <w:lang w:eastAsia="en-AU"/>
        </w:rPr>
      </w:pPr>
    </w:p>
    <w:p w14:paraId="6660AA37" w14:textId="77777777" w:rsidR="00B66591" w:rsidRPr="002115BF" w:rsidRDefault="00B66591" w:rsidP="00B66591">
      <w:pPr>
        <w:rPr>
          <w:sz w:val="18"/>
          <w:lang w:eastAsia="en-AU"/>
        </w:rPr>
      </w:pPr>
    </w:p>
    <w:p w14:paraId="256EE955" w14:textId="77777777" w:rsidR="00B66591" w:rsidRDefault="00B66591" w:rsidP="00B66591">
      <w:pPr>
        <w:rPr>
          <w:sz w:val="18"/>
          <w:lang w:eastAsia="en-AU"/>
        </w:rPr>
      </w:pPr>
    </w:p>
    <w:p w14:paraId="2AFA2431" w14:textId="77777777" w:rsidR="00B66591" w:rsidRPr="00A76664" w:rsidRDefault="00B66591" w:rsidP="00B66591">
      <w:pPr>
        <w:rPr>
          <w:sz w:val="18"/>
          <w:lang w:val="en-GB" w:eastAsia="en-AU"/>
        </w:rPr>
      </w:pPr>
      <w:r w:rsidRPr="00A76664">
        <w:rPr>
          <w:sz w:val="18"/>
          <w:lang w:val="en-GB" w:eastAsia="en-AU"/>
        </w:rPr>
        <w:t>_____________________________________</w:t>
      </w:r>
    </w:p>
    <w:p w14:paraId="594B3C1F" w14:textId="77777777" w:rsidR="00B66591" w:rsidRPr="00A76664" w:rsidRDefault="00B66591" w:rsidP="00B66591">
      <w:pPr>
        <w:rPr>
          <w:sz w:val="18"/>
          <w:lang w:val="en-GB" w:eastAsia="en-AU"/>
        </w:rPr>
      </w:pPr>
      <w:r w:rsidRPr="00A76664">
        <w:rPr>
          <w:sz w:val="18"/>
          <w:lang w:val="en-GB" w:eastAsia="en-AU"/>
        </w:rPr>
        <w:t xml:space="preserve">Revisors </w:t>
      </w:r>
      <w:proofErr w:type="spellStart"/>
      <w:r w:rsidRPr="00A76664">
        <w:rPr>
          <w:sz w:val="18"/>
          <w:lang w:val="en-GB" w:eastAsia="en-AU"/>
        </w:rPr>
        <w:t>navn</w:t>
      </w:r>
      <w:proofErr w:type="spellEnd"/>
    </w:p>
    <w:p w14:paraId="364E66AD" w14:textId="77777777" w:rsidR="00B66591" w:rsidRPr="00A76664" w:rsidRDefault="00B66591" w:rsidP="00B66591">
      <w:pPr>
        <w:rPr>
          <w:sz w:val="18"/>
          <w:lang w:val="en-GB" w:eastAsia="en-AU"/>
        </w:rPr>
      </w:pPr>
      <w:r w:rsidRPr="00A76664">
        <w:rPr>
          <w:sz w:val="18"/>
          <w:lang w:val="en-GB" w:eastAsia="en-AU"/>
        </w:rPr>
        <w:t xml:space="preserve">Revisors </w:t>
      </w:r>
      <w:proofErr w:type="spellStart"/>
      <w:r w:rsidRPr="00A76664">
        <w:rPr>
          <w:sz w:val="18"/>
          <w:lang w:val="en-GB" w:eastAsia="en-AU"/>
        </w:rPr>
        <w:t>titel</w:t>
      </w:r>
      <w:proofErr w:type="spellEnd"/>
      <w:r w:rsidRPr="00A76664">
        <w:rPr>
          <w:sz w:val="18"/>
          <w:lang w:val="en-GB" w:eastAsia="en-AU"/>
        </w:rPr>
        <w:t xml:space="preserve"> </w:t>
      </w:r>
    </w:p>
    <w:p w14:paraId="78C5C686" w14:textId="77777777" w:rsidR="00B66591" w:rsidRPr="002115BF" w:rsidRDefault="00B66591" w:rsidP="00B66591">
      <w:pPr>
        <w:rPr>
          <w:lang w:val="en-US"/>
        </w:rPr>
      </w:pPr>
      <w:r w:rsidRPr="00A76664">
        <w:rPr>
          <w:sz w:val="18"/>
          <w:lang w:val="en-GB" w:eastAsia="en-AU"/>
        </w:rPr>
        <w:t xml:space="preserve">MNE-nr. </w:t>
      </w:r>
      <w:proofErr w:type="spellStart"/>
      <w:r w:rsidRPr="00A76664">
        <w:rPr>
          <w:sz w:val="18"/>
          <w:lang w:val="en-GB" w:eastAsia="en-AU"/>
        </w:rPr>
        <w:t>xxxx</w:t>
      </w:r>
      <w:r>
        <w:rPr>
          <w:sz w:val="18"/>
          <w:lang w:val="en-GB" w:eastAsia="en-AU"/>
        </w:rPr>
        <w:t>x</w:t>
      </w:r>
      <w:proofErr w:type="spellEnd"/>
    </w:p>
    <w:p w14:paraId="0E7D0B8B" w14:textId="77777777" w:rsidR="00B66591" w:rsidRPr="0005518B" w:rsidRDefault="00B66591">
      <w:pPr>
        <w:rPr>
          <w:lang w:val="en-US"/>
        </w:rPr>
      </w:pPr>
    </w:p>
    <w:sectPr w:rsidR="00B66591" w:rsidRPr="0005518B" w:rsidSect="00857303">
      <w:type w:val="nextColumn"/>
      <w:pgSz w:w="11907" w:h="16840" w:code="9"/>
      <w:pgMar w:top="1134" w:right="1361" w:bottom="1134" w:left="1361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326D" w14:textId="77777777" w:rsidR="00D013F4" w:rsidRDefault="00D013F4" w:rsidP="00EC76D3">
      <w:r>
        <w:separator/>
      </w:r>
    </w:p>
  </w:endnote>
  <w:endnote w:type="continuationSeparator" w:id="0">
    <w:p w14:paraId="5666F15F" w14:textId="77777777" w:rsidR="00D013F4" w:rsidRDefault="00D013F4" w:rsidP="00EC76D3">
      <w:r>
        <w:continuationSeparator/>
      </w:r>
    </w:p>
  </w:endnote>
  <w:endnote w:type="continuationNotice" w:id="1">
    <w:p w14:paraId="20571576" w14:textId="77777777" w:rsidR="00D013F4" w:rsidRDefault="00D01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34CF" w14:textId="77777777" w:rsidR="00D013F4" w:rsidRDefault="00D013F4" w:rsidP="00EC76D3">
      <w:r>
        <w:separator/>
      </w:r>
    </w:p>
  </w:footnote>
  <w:footnote w:type="continuationSeparator" w:id="0">
    <w:p w14:paraId="3D52EF3B" w14:textId="77777777" w:rsidR="00D013F4" w:rsidRDefault="00D013F4" w:rsidP="00EC76D3">
      <w:r>
        <w:continuationSeparator/>
      </w:r>
    </w:p>
  </w:footnote>
  <w:footnote w:type="continuationNotice" w:id="1">
    <w:p w14:paraId="5DA98DC3" w14:textId="77777777" w:rsidR="00D013F4" w:rsidRDefault="00D013F4"/>
  </w:footnote>
  <w:footnote w:id="2">
    <w:p w14:paraId="5497843C" w14:textId="77777777" w:rsidR="00247328" w:rsidRDefault="00247328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4E66B9">
        <w:rPr>
          <w:sz w:val="18"/>
          <w:szCs w:val="18"/>
        </w:rPr>
        <w:t>I § 10 stk. 1 nr. 7 henvises i teksten til § 5, stk. 8. Dette er en fejl i bekendtgørelsen, og der skal i stedet henvises til § 5, stk. 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E0E6F"/>
    <w:multiLevelType w:val="hybridMultilevel"/>
    <w:tmpl w:val="69B811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8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12"/>
    <w:rsid w:val="00004FE6"/>
    <w:rsid w:val="00006F73"/>
    <w:rsid w:val="00010866"/>
    <w:rsid w:val="000136D5"/>
    <w:rsid w:val="00025209"/>
    <w:rsid w:val="0003179C"/>
    <w:rsid w:val="00045B75"/>
    <w:rsid w:val="0005518B"/>
    <w:rsid w:val="000678AA"/>
    <w:rsid w:val="00090280"/>
    <w:rsid w:val="000927D1"/>
    <w:rsid w:val="000A0C67"/>
    <w:rsid w:val="000A7B23"/>
    <w:rsid w:val="000B4E58"/>
    <w:rsid w:val="000B663B"/>
    <w:rsid w:val="000B69A8"/>
    <w:rsid w:val="000C0946"/>
    <w:rsid w:val="000C2226"/>
    <w:rsid w:val="000C74A6"/>
    <w:rsid w:val="000D3343"/>
    <w:rsid w:val="000E1507"/>
    <w:rsid w:val="000E3487"/>
    <w:rsid w:val="000E4DF3"/>
    <w:rsid w:val="000F4613"/>
    <w:rsid w:val="000F4C53"/>
    <w:rsid w:val="000F64A8"/>
    <w:rsid w:val="000F7D50"/>
    <w:rsid w:val="001036D8"/>
    <w:rsid w:val="0010616E"/>
    <w:rsid w:val="00106606"/>
    <w:rsid w:val="001321A9"/>
    <w:rsid w:val="0014323A"/>
    <w:rsid w:val="00150314"/>
    <w:rsid w:val="00150F52"/>
    <w:rsid w:val="001523A8"/>
    <w:rsid w:val="00154CC6"/>
    <w:rsid w:val="001565D8"/>
    <w:rsid w:val="00167F6A"/>
    <w:rsid w:val="00171D79"/>
    <w:rsid w:val="001767B8"/>
    <w:rsid w:val="00180E91"/>
    <w:rsid w:val="00190556"/>
    <w:rsid w:val="00193C1A"/>
    <w:rsid w:val="001A25EE"/>
    <w:rsid w:val="001B2B9D"/>
    <w:rsid w:val="001B31C0"/>
    <w:rsid w:val="001C0A4D"/>
    <w:rsid w:val="001D0C96"/>
    <w:rsid w:val="001D470B"/>
    <w:rsid w:val="001E14A9"/>
    <w:rsid w:val="001E6FF4"/>
    <w:rsid w:val="001F2DC7"/>
    <w:rsid w:val="001F50C9"/>
    <w:rsid w:val="00204C50"/>
    <w:rsid w:val="002105F4"/>
    <w:rsid w:val="00221038"/>
    <w:rsid w:val="00233D5A"/>
    <w:rsid w:val="00234298"/>
    <w:rsid w:val="00237579"/>
    <w:rsid w:val="00237D28"/>
    <w:rsid w:val="00241128"/>
    <w:rsid w:val="002428EB"/>
    <w:rsid w:val="002452EC"/>
    <w:rsid w:val="0024608D"/>
    <w:rsid w:val="00247328"/>
    <w:rsid w:val="002658C5"/>
    <w:rsid w:val="00265E6B"/>
    <w:rsid w:val="00267B30"/>
    <w:rsid w:val="0027104B"/>
    <w:rsid w:val="00286D30"/>
    <w:rsid w:val="002871AF"/>
    <w:rsid w:val="00287819"/>
    <w:rsid w:val="002902ED"/>
    <w:rsid w:val="002936C3"/>
    <w:rsid w:val="00294449"/>
    <w:rsid w:val="00294ED6"/>
    <w:rsid w:val="002A5981"/>
    <w:rsid w:val="002B2DA9"/>
    <w:rsid w:val="002B5ED0"/>
    <w:rsid w:val="002C798F"/>
    <w:rsid w:val="002D17AC"/>
    <w:rsid w:val="002E25AB"/>
    <w:rsid w:val="002F0956"/>
    <w:rsid w:val="0030017B"/>
    <w:rsid w:val="00301C0D"/>
    <w:rsid w:val="00306F6C"/>
    <w:rsid w:val="003125D7"/>
    <w:rsid w:val="00317434"/>
    <w:rsid w:val="0032510B"/>
    <w:rsid w:val="00326F13"/>
    <w:rsid w:val="00333F37"/>
    <w:rsid w:val="00347F33"/>
    <w:rsid w:val="00351096"/>
    <w:rsid w:val="00351708"/>
    <w:rsid w:val="00361063"/>
    <w:rsid w:val="00364CF4"/>
    <w:rsid w:val="0036604D"/>
    <w:rsid w:val="0037514A"/>
    <w:rsid w:val="00383CB9"/>
    <w:rsid w:val="00385F8A"/>
    <w:rsid w:val="00386E7B"/>
    <w:rsid w:val="0038705F"/>
    <w:rsid w:val="00391E12"/>
    <w:rsid w:val="00394C36"/>
    <w:rsid w:val="003A010B"/>
    <w:rsid w:val="003A34CB"/>
    <w:rsid w:val="003B6D11"/>
    <w:rsid w:val="003C4599"/>
    <w:rsid w:val="003D2ED6"/>
    <w:rsid w:val="003E09B5"/>
    <w:rsid w:val="003E1736"/>
    <w:rsid w:val="003E540B"/>
    <w:rsid w:val="003E7BC5"/>
    <w:rsid w:val="003F1C87"/>
    <w:rsid w:val="003F201C"/>
    <w:rsid w:val="003F2B6E"/>
    <w:rsid w:val="003F656D"/>
    <w:rsid w:val="003F6606"/>
    <w:rsid w:val="00401825"/>
    <w:rsid w:val="00403FBB"/>
    <w:rsid w:val="004053E8"/>
    <w:rsid w:val="00405912"/>
    <w:rsid w:val="00406369"/>
    <w:rsid w:val="00425180"/>
    <w:rsid w:val="00430BAC"/>
    <w:rsid w:val="00450A1B"/>
    <w:rsid w:val="00453AFC"/>
    <w:rsid w:val="004540D1"/>
    <w:rsid w:val="00462D90"/>
    <w:rsid w:val="004667F5"/>
    <w:rsid w:val="00477876"/>
    <w:rsid w:val="00483A06"/>
    <w:rsid w:val="00490146"/>
    <w:rsid w:val="00491707"/>
    <w:rsid w:val="00495F26"/>
    <w:rsid w:val="004A1368"/>
    <w:rsid w:val="004B3499"/>
    <w:rsid w:val="004C1C1F"/>
    <w:rsid w:val="004F3B38"/>
    <w:rsid w:val="004F5CE1"/>
    <w:rsid w:val="005009F2"/>
    <w:rsid w:val="00503537"/>
    <w:rsid w:val="00503F33"/>
    <w:rsid w:val="0050719D"/>
    <w:rsid w:val="005167BC"/>
    <w:rsid w:val="005208AD"/>
    <w:rsid w:val="00520BE2"/>
    <w:rsid w:val="00522FD0"/>
    <w:rsid w:val="0053315F"/>
    <w:rsid w:val="00535490"/>
    <w:rsid w:val="00540724"/>
    <w:rsid w:val="00544A47"/>
    <w:rsid w:val="00546FFD"/>
    <w:rsid w:val="00553015"/>
    <w:rsid w:val="00554C84"/>
    <w:rsid w:val="00574FED"/>
    <w:rsid w:val="0058038C"/>
    <w:rsid w:val="0058073D"/>
    <w:rsid w:val="005844C0"/>
    <w:rsid w:val="00586759"/>
    <w:rsid w:val="005878F2"/>
    <w:rsid w:val="005A1754"/>
    <w:rsid w:val="005A329C"/>
    <w:rsid w:val="005B1F1B"/>
    <w:rsid w:val="005C151C"/>
    <w:rsid w:val="005C623B"/>
    <w:rsid w:val="005D1152"/>
    <w:rsid w:val="005D58EC"/>
    <w:rsid w:val="005E30BF"/>
    <w:rsid w:val="005F29F8"/>
    <w:rsid w:val="005F2E0C"/>
    <w:rsid w:val="005F7200"/>
    <w:rsid w:val="0060294C"/>
    <w:rsid w:val="00605EEE"/>
    <w:rsid w:val="0060752B"/>
    <w:rsid w:val="0061156D"/>
    <w:rsid w:val="006126F0"/>
    <w:rsid w:val="00612925"/>
    <w:rsid w:val="00616CAB"/>
    <w:rsid w:val="00621707"/>
    <w:rsid w:val="00635A1D"/>
    <w:rsid w:val="006368F9"/>
    <w:rsid w:val="00640DFC"/>
    <w:rsid w:val="00641D22"/>
    <w:rsid w:val="006428C7"/>
    <w:rsid w:val="00647331"/>
    <w:rsid w:val="00650290"/>
    <w:rsid w:val="00665E53"/>
    <w:rsid w:val="006757B6"/>
    <w:rsid w:val="006766C3"/>
    <w:rsid w:val="006848E7"/>
    <w:rsid w:val="00686002"/>
    <w:rsid w:val="0068784F"/>
    <w:rsid w:val="006940CD"/>
    <w:rsid w:val="006A0128"/>
    <w:rsid w:val="006A0136"/>
    <w:rsid w:val="006A18EB"/>
    <w:rsid w:val="006A2F6C"/>
    <w:rsid w:val="006A5EDE"/>
    <w:rsid w:val="006B0BD8"/>
    <w:rsid w:val="006B2CBF"/>
    <w:rsid w:val="006C561F"/>
    <w:rsid w:val="006C7A7A"/>
    <w:rsid w:val="006D2545"/>
    <w:rsid w:val="006E1991"/>
    <w:rsid w:val="006E3E26"/>
    <w:rsid w:val="006F297F"/>
    <w:rsid w:val="006F5FA4"/>
    <w:rsid w:val="006F7B27"/>
    <w:rsid w:val="00703BF6"/>
    <w:rsid w:val="00705314"/>
    <w:rsid w:val="0071798F"/>
    <w:rsid w:val="007233EC"/>
    <w:rsid w:val="00731078"/>
    <w:rsid w:val="00735AAA"/>
    <w:rsid w:val="0074518F"/>
    <w:rsid w:val="00747317"/>
    <w:rsid w:val="00753C76"/>
    <w:rsid w:val="00755B7B"/>
    <w:rsid w:val="00755F43"/>
    <w:rsid w:val="0075665A"/>
    <w:rsid w:val="0076179E"/>
    <w:rsid w:val="00761F38"/>
    <w:rsid w:val="0076755D"/>
    <w:rsid w:val="0077077D"/>
    <w:rsid w:val="00784619"/>
    <w:rsid w:val="00797443"/>
    <w:rsid w:val="00797F69"/>
    <w:rsid w:val="007A03AD"/>
    <w:rsid w:val="007A4D5F"/>
    <w:rsid w:val="007A4F15"/>
    <w:rsid w:val="007C3566"/>
    <w:rsid w:val="007D0FDD"/>
    <w:rsid w:val="007E2DE4"/>
    <w:rsid w:val="0080051B"/>
    <w:rsid w:val="00801E14"/>
    <w:rsid w:val="00802174"/>
    <w:rsid w:val="00803167"/>
    <w:rsid w:val="008103D9"/>
    <w:rsid w:val="008137B9"/>
    <w:rsid w:val="0084455B"/>
    <w:rsid w:val="00846988"/>
    <w:rsid w:val="008533F5"/>
    <w:rsid w:val="00854AAE"/>
    <w:rsid w:val="00856FDC"/>
    <w:rsid w:val="00857303"/>
    <w:rsid w:val="008577C6"/>
    <w:rsid w:val="00860C6B"/>
    <w:rsid w:val="00891270"/>
    <w:rsid w:val="00895C56"/>
    <w:rsid w:val="008968A8"/>
    <w:rsid w:val="008A6227"/>
    <w:rsid w:val="008B0213"/>
    <w:rsid w:val="008B291B"/>
    <w:rsid w:val="008B55D4"/>
    <w:rsid w:val="008B637A"/>
    <w:rsid w:val="008C4F34"/>
    <w:rsid w:val="008D10AE"/>
    <w:rsid w:val="008D2568"/>
    <w:rsid w:val="008D2A47"/>
    <w:rsid w:val="008E3CA0"/>
    <w:rsid w:val="008E7760"/>
    <w:rsid w:val="00905356"/>
    <w:rsid w:val="009130E8"/>
    <w:rsid w:val="009145E8"/>
    <w:rsid w:val="00931EFB"/>
    <w:rsid w:val="009376FC"/>
    <w:rsid w:val="00955C1A"/>
    <w:rsid w:val="00960184"/>
    <w:rsid w:val="00965F12"/>
    <w:rsid w:val="00971F26"/>
    <w:rsid w:val="009770EF"/>
    <w:rsid w:val="00992B38"/>
    <w:rsid w:val="00997678"/>
    <w:rsid w:val="009A29DD"/>
    <w:rsid w:val="009A30C9"/>
    <w:rsid w:val="009A443A"/>
    <w:rsid w:val="009A52D8"/>
    <w:rsid w:val="009A5777"/>
    <w:rsid w:val="009B0161"/>
    <w:rsid w:val="009B1E39"/>
    <w:rsid w:val="009B5509"/>
    <w:rsid w:val="009B5997"/>
    <w:rsid w:val="009C0FA0"/>
    <w:rsid w:val="009E40B1"/>
    <w:rsid w:val="009E447A"/>
    <w:rsid w:val="009F103A"/>
    <w:rsid w:val="009F4887"/>
    <w:rsid w:val="009F60F3"/>
    <w:rsid w:val="00A07825"/>
    <w:rsid w:val="00A171DC"/>
    <w:rsid w:val="00A2281B"/>
    <w:rsid w:val="00A23B53"/>
    <w:rsid w:val="00A24F30"/>
    <w:rsid w:val="00A2678A"/>
    <w:rsid w:val="00A27D0B"/>
    <w:rsid w:val="00A318D5"/>
    <w:rsid w:val="00A3665A"/>
    <w:rsid w:val="00A42CBB"/>
    <w:rsid w:val="00A44B1E"/>
    <w:rsid w:val="00A4532D"/>
    <w:rsid w:val="00A54941"/>
    <w:rsid w:val="00A57A2A"/>
    <w:rsid w:val="00A67588"/>
    <w:rsid w:val="00A70BF2"/>
    <w:rsid w:val="00A71110"/>
    <w:rsid w:val="00A80581"/>
    <w:rsid w:val="00A82EF3"/>
    <w:rsid w:val="00A976E7"/>
    <w:rsid w:val="00AA6503"/>
    <w:rsid w:val="00AA7239"/>
    <w:rsid w:val="00AB3334"/>
    <w:rsid w:val="00AB3F07"/>
    <w:rsid w:val="00AB5AF0"/>
    <w:rsid w:val="00AB6C3A"/>
    <w:rsid w:val="00AB72DB"/>
    <w:rsid w:val="00AC22BB"/>
    <w:rsid w:val="00AE1D03"/>
    <w:rsid w:val="00AE3CFB"/>
    <w:rsid w:val="00AF6F6F"/>
    <w:rsid w:val="00B025CE"/>
    <w:rsid w:val="00B0476E"/>
    <w:rsid w:val="00B0561F"/>
    <w:rsid w:val="00B05E5D"/>
    <w:rsid w:val="00B10ED6"/>
    <w:rsid w:val="00B17C23"/>
    <w:rsid w:val="00B22CFB"/>
    <w:rsid w:val="00B245A6"/>
    <w:rsid w:val="00B27799"/>
    <w:rsid w:val="00B37F62"/>
    <w:rsid w:val="00B43F7A"/>
    <w:rsid w:val="00B5026E"/>
    <w:rsid w:val="00B51780"/>
    <w:rsid w:val="00B632AB"/>
    <w:rsid w:val="00B66591"/>
    <w:rsid w:val="00B66F03"/>
    <w:rsid w:val="00BB332D"/>
    <w:rsid w:val="00BB6597"/>
    <w:rsid w:val="00BC0836"/>
    <w:rsid w:val="00BC60E1"/>
    <w:rsid w:val="00BE0D23"/>
    <w:rsid w:val="00BE1D95"/>
    <w:rsid w:val="00BE2D26"/>
    <w:rsid w:val="00BE6315"/>
    <w:rsid w:val="00BF174E"/>
    <w:rsid w:val="00C16489"/>
    <w:rsid w:val="00C16FAC"/>
    <w:rsid w:val="00C21BF3"/>
    <w:rsid w:val="00C26194"/>
    <w:rsid w:val="00C30B2A"/>
    <w:rsid w:val="00C3714B"/>
    <w:rsid w:val="00C379BD"/>
    <w:rsid w:val="00C40D7B"/>
    <w:rsid w:val="00C62956"/>
    <w:rsid w:val="00C70443"/>
    <w:rsid w:val="00C740C3"/>
    <w:rsid w:val="00C76586"/>
    <w:rsid w:val="00C91830"/>
    <w:rsid w:val="00C93061"/>
    <w:rsid w:val="00C933C4"/>
    <w:rsid w:val="00C943FB"/>
    <w:rsid w:val="00C972FA"/>
    <w:rsid w:val="00CA2021"/>
    <w:rsid w:val="00CB448B"/>
    <w:rsid w:val="00CC14D0"/>
    <w:rsid w:val="00CC19F9"/>
    <w:rsid w:val="00CE2FD5"/>
    <w:rsid w:val="00CE6E45"/>
    <w:rsid w:val="00CE76FC"/>
    <w:rsid w:val="00CF3054"/>
    <w:rsid w:val="00CF316F"/>
    <w:rsid w:val="00CF3D02"/>
    <w:rsid w:val="00CF4C5F"/>
    <w:rsid w:val="00D00261"/>
    <w:rsid w:val="00D00A15"/>
    <w:rsid w:val="00D013F4"/>
    <w:rsid w:val="00D048BF"/>
    <w:rsid w:val="00D07728"/>
    <w:rsid w:val="00D1714A"/>
    <w:rsid w:val="00D22881"/>
    <w:rsid w:val="00D23C46"/>
    <w:rsid w:val="00D2786E"/>
    <w:rsid w:val="00D317C1"/>
    <w:rsid w:val="00D36432"/>
    <w:rsid w:val="00D50049"/>
    <w:rsid w:val="00D506BB"/>
    <w:rsid w:val="00D50A42"/>
    <w:rsid w:val="00D51F97"/>
    <w:rsid w:val="00D7315E"/>
    <w:rsid w:val="00D8059F"/>
    <w:rsid w:val="00D932E4"/>
    <w:rsid w:val="00DA4A01"/>
    <w:rsid w:val="00DB34CB"/>
    <w:rsid w:val="00DB4955"/>
    <w:rsid w:val="00DB612A"/>
    <w:rsid w:val="00DC088C"/>
    <w:rsid w:val="00DC15CA"/>
    <w:rsid w:val="00DD088F"/>
    <w:rsid w:val="00DD14CC"/>
    <w:rsid w:val="00DD3A14"/>
    <w:rsid w:val="00DE38D7"/>
    <w:rsid w:val="00E07182"/>
    <w:rsid w:val="00E11785"/>
    <w:rsid w:val="00E1751A"/>
    <w:rsid w:val="00E2465E"/>
    <w:rsid w:val="00E318CA"/>
    <w:rsid w:val="00E325DC"/>
    <w:rsid w:val="00E36D15"/>
    <w:rsid w:val="00E43EF9"/>
    <w:rsid w:val="00E4428B"/>
    <w:rsid w:val="00E46239"/>
    <w:rsid w:val="00E5037F"/>
    <w:rsid w:val="00E5734A"/>
    <w:rsid w:val="00E64587"/>
    <w:rsid w:val="00E73E5B"/>
    <w:rsid w:val="00E75CBD"/>
    <w:rsid w:val="00E77536"/>
    <w:rsid w:val="00E87272"/>
    <w:rsid w:val="00E9329C"/>
    <w:rsid w:val="00EA345C"/>
    <w:rsid w:val="00EB2693"/>
    <w:rsid w:val="00EB7927"/>
    <w:rsid w:val="00EC76D3"/>
    <w:rsid w:val="00ED08B9"/>
    <w:rsid w:val="00ED4BC7"/>
    <w:rsid w:val="00ED63ED"/>
    <w:rsid w:val="00EF725F"/>
    <w:rsid w:val="00F03327"/>
    <w:rsid w:val="00F15FBF"/>
    <w:rsid w:val="00F2116C"/>
    <w:rsid w:val="00F21964"/>
    <w:rsid w:val="00F22C40"/>
    <w:rsid w:val="00F33347"/>
    <w:rsid w:val="00F34789"/>
    <w:rsid w:val="00F3665A"/>
    <w:rsid w:val="00F3683E"/>
    <w:rsid w:val="00F40580"/>
    <w:rsid w:val="00F43F6C"/>
    <w:rsid w:val="00F562C5"/>
    <w:rsid w:val="00F7417E"/>
    <w:rsid w:val="00F84BE2"/>
    <w:rsid w:val="00F850A9"/>
    <w:rsid w:val="00F873F4"/>
    <w:rsid w:val="00F94806"/>
    <w:rsid w:val="00FA02A2"/>
    <w:rsid w:val="00FA7766"/>
    <w:rsid w:val="00FB5461"/>
    <w:rsid w:val="00FB66EC"/>
    <w:rsid w:val="00FE0024"/>
    <w:rsid w:val="00FE4436"/>
    <w:rsid w:val="00FE55BA"/>
    <w:rsid w:val="00FE6D74"/>
    <w:rsid w:val="00FF06C3"/>
    <w:rsid w:val="00FF5318"/>
    <w:rsid w:val="00FF5E9A"/>
    <w:rsid w:val="1574FC26"/>
    <w:rsid w:val="2B053DBB"/>
    <w:rsid w:val="4B654167"/>
    <w:rsid w:val="523EEF78"/>
    <w:rsid w:val="588856B7"/>
    <w:rsid w:val="7A25D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E4931"/>
  <w15:chartTrackingRefBased/>
  <w15:docId w15:val="{D8BC4694-1CFC-4138-AB6E-FCB37A4A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965F12"/>
    <w:rPr>
      <w:rFonts w:ascii="Arial" w:hAnsi="Arial"/>
      <w:sz w:val="22"/>
      <w:lang w:eastAsia="en-US"/>
    </w:rPr>
  </w:style>
  <w:style w:type="paragraph" w:styleId="Overskrift1">
    <w:name w:val="heading 1"/>
    <w:basedOn w:val="Overskrift2"/>
    <w:next w:val="Brdtekst"/>
    <w:link w:val="Overskrift1Tegn"/>
    <w:qFormat/>
    <w:rsid w:val="00965F12"/>
    <w:pPr>
      <w:keepLines w:val="0"/>
      <w:pageBreakBefore/>
      <w:spacing w:before="0" w:line="360" w:lineRule="exact"/>
      <w:outlineLvl w:val="0"/>
    </w:pPr>
    <w:rPr>
      <w:rFonts w:ascii="Arial" w:eastAsia="Times New Roman" w:hAnsi="Arial" w:cs="Times New Roman"/>
      <w:b/>
      <w:color w:val="00338D"/>
      <w:sz w:val="32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5F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Overskrift4"/>
    <w:next w:val="Brdtekst"/>
    <w:link w:val="Overskrift3Tegn"/>
    <w:qFormat/>
    <w:rsid w:val="00965F12"/>
    <w:pPr>
      <w:keepLines w:val="0"/>
      <w:spacing w:before="400" w:line="280" w:lineRule="exact"/>
      <w:outlineLvl w:val="2"/>
    </w:pPr>
    <w:rPr>
      <w:rFonts w:ascii="Arial" w:eastAsia="Times New Roman" w:hAnsi="Arial" w:cs="Times New Roman"/>
      <w:b/>
      <w:i w:val="0"/>
      <w:iCs w:val="0"/>
      <w:color w:val="00338D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5F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character" w:customStyle="1" w:styleId="Overskrift1Tegn">
    <w:name w:val="Overskrift 1 Tegn"/>
    <w:basedOn w:val="Standardskrifttypeiafsnit"/>
    <w:link w:val="Overskrift1"/>
    <w:rsid w:val="00965F12"/>
    <w:rPr>
      <w:rFonts w:ascii="Arial" w:hAnsi="Arial"/>
      <w:b/>
      <w:color w:val="00338D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965F12"/>
    <w:rPr>
      <w:rFonts w:ascii="Arial" w:hAnsi="Arial"/>
      <w:b/>
      <w:color w:val="00338D"/>
      <w:sz w:val="24"/>
      <w:lang w:eastAsia="en-US"/>
    </w:rPr>
  </w:style>
  <w:style w:type="paragraph" w:styleId="Brdtekst">
    <w:name w:val="Body Text"/>
    <w:basedOn w:val="Normal"/>
    <w:link w:val="BrdtekstTegn"/>
    <w:qFormat/>
    <w:rsid w:val="00965F12"/>
    <w:pPr>
      <w:spacing w:before="130" w:after="130"/>
      <w:jc w:val="both"/>
    </w:pPr>
  </w:style>
  <w:style w:type="character" w:customStyle="1" w:styleId="BrdtekstTegn">
    <w:name w:val="Brødtekst Tegn"/>
    <w:basedOn w:val="Standardskrifttypeiafsnit"/>
    <w:link w:val="Brdtekst"/>
    <w:rsid w:val="00965F12"/>
    <w:rPr>
      <w:rFonts w:ascii="Arial" w:hAnsi="Arial"/>
      <w:sz w:val="22"/>
      <w:lang w:eastAsia="en-US"/>
    </w:rPr>
  </w:style>
  <w:style w:type="table" w:styleId="Tabel-Gitter">
    <w:name w:val="Table Grid"/>
    <w:basedOn w:val="Tabel-Normal"/>
    <w:rsid w:val="00965F12"/>
    <w:rPr>
      <w:rFonts w:ascii="Tms Rmn" w:hAnsi="Tms Rm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5F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5F12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paragraph" w:customStyle="1" w:styleId="TableTextNoHanging">
    <w:name w:val="Table Text No Hanging &lt;"/>
    <w:basedOn w:val="Normal"/>
    <w:uiPriority w:val="1"/>
    <w:rsid w:val="00965F12"/>
    <w:pPr>
      <w:spacing w:before="110" w:after="110"/>
    </w:pPr>
    <w:rPr>
      <w:sz w:val="18"/>
    </w:rPr>
  </w:style>
  <w:style w:type="character" w:styleId="Hyperlink">
    <w:name w:val="Hyperlink"/>
    <w:basedOn w:val="Standardskrifttypeiafsnit"/>
    <w:uiPriority w:val="99"/>
    <w:unhideWhenUsed/>
    <w:rsid w:val="0075665A"/>
    <w:rPr>
      <w:color w:val="0000FF" w:themeColor="hyperlink"/>
      <w:u w:val="single"/>
    </w:rPr>
  </w:style>
  <w:style w:type="paragraph" w:styleId="Underskrift">
    <w:name w:val="Signature"/>
    <w:basedOn w:val="Normal"/>
    <w:next w:val="Brdtekst"/>
    <w:link w:val="UnderskriftTegn"/>
    <w:uiPriority w:val="1"/>
    <w:rsid w:val="00247328"/>
    <w:pPr>
      <w:tabs>
        <w:tab w:val="left" w:pos="3238"/>
      </w:tabs>
      <w:spacing w:before="1080" w:after="260"/>
    </w:pPr>
  </w:style>
  <w:style w:type="character" w:customStyle="1" w:styleId="UnderskriftTegn">
    <w:name w:val="Underskrift Tegn"/>
    <w:basedOn w:val="Standardskrifttypeiafsnit"/>
    <w:link w:val="Underskrift"/>
    <w:uiPriority w:val="1"/>
    <w:rsid w:val="00247328"/>
    <w:rPr>
      <w:rFonts w:ascii="Arial" w:hAnsi="Arial"/>
      <w:sz w:val="22"/>
      <w:lang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47328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47328"/>
    <w:rPr>
      <w:rFonts w:ascii="Arial" w:hAnsi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47328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4732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2281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2281B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28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281B"/>
    <w:rPr>
      <w:rFonts w:ascii="Arial" w:hAnsi="Arial"/>
      <w:b/>
      <w:bCs/>
      <w:lang w:eastAsia="en-US"/>
    </w:rPr>
  </w:style>
  <w:style w:type="paragraph" w:styleId="Sidehoved">
    <w:name w:val="header"/>
    <w:basedOn w:val="Normal"/>
    <w:link w:val="SidehovedTegn"/>
    <w:uiPriority w:val="99"/>
    <w:semiHidden/>
    <w:unhideWhenUsed/>
    <w:rsid w:val="00E325D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325DC"/>
    <w:rPr>
      <w:rFonts w:ascii="Arial" w:hAnsi="Arial"/>
      <w:sz w:val="22"/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E325D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325DC"/>
    <w:rPr>
      <w:rFonts w:ascii="Arial" w:hAnsi="Arial"/>
      <w:sz w:val="22"/>
      <w:lang w:eastAsia="en-US"/>
    </w:rPr>
  </w:style>
  <w:style w:type="paragraph" w:styleId="Korrektur">
    <w:name w:val="Revision"/>
    <w:hidden/>
    <w:uiPriority w:val="99"/>
    <w:semiHidden/>
    <w:rsid w:val="00801E14"/>
    <w:rPr>
      <w:rFonts w:ascii="Arial" w:hAnsi="Arial"/>
      <w:sz w:val="22"/>
      <w:lang w:eastAsia="en-US"/>
    </w:rPr>
  </w:style>
  <w:style w:type="paragraph" w:customStyle="1" w:styleId="pf0">
    <w:name w:val="pf0"/>
    <w:basedOn w:val="Normal"/>
    <w:rsid w:val="006D25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6D25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da/TXT/PDF/?uri=uriserv:OJ.C_.2021.066.01.0040.01.E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EB28-6B23-4F6C-BC8A-421D4046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3090</Words>
  <Characters>18856</Characters>
  <Application>Microsoft Office Word</Application>
  <DocSecurity>0</DocSecurity>
  <Lines>157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21903</CharactersWithSpaces>
  <SharedDoc>false</SharedDoc>
  <HLinks>
    <vt:vector size="6" baseType="variant">
      <vt:variant>
        <vt:i4>4194343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https://eur-lex.europa.eu/legal-content/da/TXT/PDF/?uri=uriserv:OJ.C_.2021.066.01.0040.01.ENG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Casper Vase</dc:creator>
  <cp:keywords/>
  <dc:description/>
  <cp:lastModifiedBy>Casper Vase</cp:lastModifiedBy>
  <cp:revision>4</cp:revision>
  <cp:lastPrinted>2022-08-01T11:31:00Z</cp:lastPrinted>
  <dcterms:created xsi:type="dcterms:W3CDTF">2023-01-16T11:49:00Z</dcterms:created>
  <dcterms:modified xsi:type="dcterms:W3CDTF">2023-01-16T11:50:00Z</dcterms:modified>
</cp:coreProperties>
</file>